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86B5C">
      <w:pPr>
        <w:shd w:val="clear" w:fill="911527"/>
        <w:autoSpaceDE w:val="0"/>
        <w:autoSpaceDN w:val="0"/>
        <w:adjustRightInd w:val="0"/>
        <w:spacing w:before="120" w:line="276" w:lineRule="auto"/>
        <w:jc w:val="center"/>
        <w:rPr>
          <w:rFonts w:hint="default" w:asciiTheme="majorHAnsi" w:hAnsiTheme="majorHAnsi" w:cstheme="majorHAnsi"/>
          <w:b/>
          <w:bCs/>
          <w:color w:val="auto"/>
          <w:u w:val="single"/>
          <w:lang w:val="pt-BR" w:eastAsia="en-US"/>
        </w:rPr>
      </w:pPr>
      <w:bookmarkStart w:id="59" w:name="_GoBack"/>
      <w:bookmarkEnd w:id="59"/>
      <w:r>
        <w:rPr>
          <w:rFonts w:hint="default" w:asciiTheme="majorHAnsi" w:hAnsiTheme="majorHAnsi" w:cstheme="majorHAnsi"/>
          <w:b/>
          <w:bCs/>
          <w:color w:val="auto"/>
          <w:u w:val="single"/>
          <w:lang w:val="pt-BR" w:eastAsia="en-US"/>
        </w:rPr>
        <w:t>PREGÃO ELETRÔNICO (REGISTRO DE PREÇOS) Nº 005/2025</w:t>
      </w:r>
    </w:p>
    <w:p w14:paraId="099C3BC3">
      <w:pPr>
        <w:autoSpaceDE w:val="0"/>
        <w:autoSpaceDN w:val="0"/>
        <w:adjustRightInd w:val="0"/>
        <w:spacing w:before="120" w:line="276" w:lineRule="auto"/>
        <w:rPr>
          <w:rFonts w:asciiTheme="majorHAnsi" w:hAnsiTheme="majorHAnsi" w:cstheme="majorHAnsi"/>
          <w:b/>
          <w:bCs/>
          <w:sz w:val="22"/>
          <w:szCs w:val="22"/>
          <w:lang w:eastAsia="en-US"/>
        </w:rPr>
      </w:pPr>
    </w:p>
    <w:p w14:paraId="7BE43138">
      <w:pPr>
        <w:autoSpaceDE w:val="0"/>
        <w:autoSpaceDN w:val="0"/>
        <w:adjustRightInd w:val="0"/>
        <w:spacing w:before="120" w:line="276" w:lineRule="auto"/>
        <w:rPr>
          <w:rFonts w:hint="default" w:asciiTheme="majorHAnsi" w:hAnsiTheme="majorHAnsi" w:cstheme="majorHAnsi"/>
          <w:b/>
          <w:bCs/>
          <w:sz w:val="22"/>
          <w:szCs w:val="22"/>
          <w:lang w:val="pt-BR" w:eastAsia="en-US"/>
        </w:rPr>
      </w:pPr>
      <w:r>
        <w:rPr>
          <w:rFonts w:asciiTheme="majorHAnsi" w:hAnsiTheme="majorHAnsi" w:cstheme="majorHAnsi"/>
          <w:b/>
          <w:bCs/>
          <w:sz w:val="22"/>
          <w:szCs w:val="22"/>
          <w:lang w:eastAsia="en-US"/>
        </w:rPr>
        <w:t xml:space="preserve">PREGÃO ELETRÔNICO Nº </w:t>
      </w:r>
      <w:r>
        <w:rPr>
          <w:rFonts w:hint="default" w:asciiTheme="majorHAnsi" w:hAnsiTheme="majorHAnsi" w:cstheme="majorHAnsi"/>
          <w:b/>
          <w:bCs/>
          <w:sz w:val="22"/>
          <w:szCs w:val="22"/>
          <w:lang w:val="pt-BR" w:eastAsia="en-US"/>
        </w:rPr>
        <w:t>005/2025</w:t>
      </w:r>
    </w:p>
    <w:p w14:paraId="12EA8DB1">
      <w:pPr>
        <w:autoSpaceDE w:val="0"/>
        <w:autoSpaceDN w:val="0"/>
        <w:adjustRightInd w:val="0"/>
        <w:spacing w:before="120" w:line="276" w:lineRule="auto"/>
        <w:rPr>
          <w:rFonts w:hint="default" w:asciiTheme="majorHAnsi" w:hAnsiTheme="majorHAnsi" w:cstheme="majorHAnsi"/>
          <w:b/>
          <w:bCs/>
          <w:sz w:val="22"/>
          <w:szCs w:val="22"/>
          <w:highlight w:val="none"/>
          <w:lang w:val="pt-BR" w:eastAsia="en-US"/>
        </w:rPr>
      </w:pPr>
      <w:r>
        <w:rPr>
          <w:rFonts w:asciiTheme="majorHAnsi" w:hAnsiTheme="majorHAnsi" w:cstheme="majorHAnsi"/>
          <w:b/>
          <w:bCs/>
          <w:sz w:val="22"/>
          <w:szCs w:val="22"/>
          <w:lang w:eastAsia="en-US"/>
        </w:rPr>
        <w:t xml:space="preserve">PROCESSO </w:t>
      </w:r>
      <w:r>
        <w:rPr>
          <w:rFonts w:hint="default" w:asciiTheme="majorHAnsi" w:hAnsiTheme="majorHAnsi" w:cstheme="majorHAnsi"/>
          <w:b/>
          <w:bCs/>
          <w:sz w:val="22"/>
          <w:szCs w:val="22"/>
          <w:lang w:val="pt-BR" w:eastAsia="en-US"/>
        </w:rPr>
        <w:t xml:space="preserve">ADM </w:t>
      </w:r>
      <w:r>
        <w:rPr>
          <w:rFonts w:hint="default" w:asciiTheme="majorHAnsi" w:hAnsiTheme="majorHAnsi" w:cstheme="majorHAnsi"/>
          <w:b/>
          <w:bCs/>
          <w:sz w:val="22"/>
          <w:szCs w:val="22"/>
          <w:highlight w:val="none"/>
          <w:lang w:val="pt-BR" w:eastAsia="en-US"/>
        </w:rPr>
        <w:t xml:space="preserve">1DOC </w:t>
      </w:r>
      <w:r>
        <w:rPr>
          <w:rFonts w:asciiTheme="majorHAnsi" w:hAnsiTheme="majorHAnsi" w:cstheme="majorHAnsi"/>
          <w:b/>
          <w:bCs/>
          <w:sz w:val="22"/>
          <w:szCs w:val="22"/>
          <w:highlight w:val="none"/>
          <w:lang w:eastAsia="en-US"/>
        </w:rPr>
        <w:t xml:space="preserve">Nº </w:t>
      </w:r>
      <w:r>
        <w:rPr>
          <w:rFonts w:hint="default" w:asciiTheme="majorHAnsi" w:hAnsiTheme="majorHAnsi" w:cstheme="majorHAnsi"/>
          <w:b/>
          <w:bCs/>
          <w:sz w:val="22"/>
          <w:szCs w:val="22"/>
          <w:highlight w:val="none"/>
          <w:lang w:val="pt-BR" w:eastAsia="en-US"/>
        </w:rPr>
        <w:t>1096/2025</w:t>
      </w:r>
    </w:p>
    <w:p w14:paraId="0EF74001">
      <w:pPr>
        <w:autoSpaceDE w:val="0"/>
        <w:autoSpaceDN w:val="0"/>
        <w:adjustRightInd w:val="0"/>
        <w:spacing w:before="120" w:line="276" w:lineRule="auto"/>
        <w:rPr>
          <w:rFonts w:asciiTheme="majorHAnsi" w:hAnsiTheme="majorHAnsi" w:cstheme="majorHAnsi"/>
          <w:b/>
          <w:bCs/>
          <w:sz w:val="22"/>
          <w:szCs w:val="22"/>
          <w:highlight w:val="none"/>
          <w:lang w:eastAsia="en-US"/>
        </w:rPr>
      </w:pPr>
      <w:r>
        <w:rPr>
          <w:rFonts w:asciiTheme="majorHAnsi" w:hAnsiTheme="majorHAnsi" w:cstheme="majorHAnsi"/>
          <w:b/>
          <w:bCs/>
          <w:sz w:val="22"/>
          <w:szCs w:val="22"/>
          <w:highlight w:val="none"/>
          <w:lang w:eastAsia="en-US"/>
        </w:rPr>
        <w:t>CRITÉRIO DE JULGAMENTO: (MENOR PREÇO</w:t>
      </w:r>
      <w:r>
        <w:rPr>
          <w:rFonts w:hint="default" w:asciiTheme="majorHAnsi" w:hAnsiTheme="majorHAnsi" w:cstheme="majorHAnsi"/>
          <w:b/>
          <w:bCs/>
          <w:sz w:val="22"/>
          <w:szCs w:val="22"/>
          <w:highlight w:val="none"/>
          <w:lang w:val="pt-BR" w:eastAsia="en-US"/>
        </w:rPr>
        <w:t xml:space="preserve"> GLOBAL POR LOTE</w:t>
      </w:r>
      <w:r>
        <w:rPr>
          <w:rFonts w:asciiTheme="majorHAnsi" w:hAnsiTheme="majorHAnsi" w:cstheme="majorHAnsi"/>
          <w:b/>
          <w:bCs/>
          <w:sz w:val="22"/>
          <w:szCs w:val="22"/>
          <w:highlight w:val="none"/>
          <w:lang w:eastAsia="en-US"/>
        </w:rPr>
        <w:t xml:space="preserve">) </w:t>
      </w:r>
    </w:p>
    <w:p w14:paraId="1DEBEB22">
      <w:pPr>
        <w:autoSpaceDE w:val="0"/>
        <w:autoSpaceDN w:val="0"/>
        <w:adjustRightInd w:val="0"/>
        <w:spacing w:before="120" w:line="276" w:lineRule="auto"/>
        <w:rPr>
          <w:rFonts w:asciiTheme="majorHAnsi" w:hAnsiTheme="majorHAnsi" w:cstheme="majorHAnsi"/>
          <w:b/>
          <w:bCs/>
          <w:color w:val="0070C0"/>
          <w:sz w:val="22"/>
          <w:szCs w:val="22"/>
          <w:highlight w:val="none"/>
          <w:lang w:eastAsia="en-US"/>
        </w:rPr>
      </w:pPr>
      <w:r>
        <w:rPr>
          <w:rFonts w:asciiTheme="majorHAnsi" w:hAnsiTheme="majorHAnsi" w:cstheme="majorHAnsi"/>
          <w:b/>
          <w:bCs/>
          <w:sz w:val="22"/>
          <w:szCs w:val="22"/>
          <w:highlight w:val="none"/>
          <w:lang w:eastAsia="en-US"/>
        </w:rPr>
        <w:t xml:space="preserve">LOCAL: </w:t>
      </w:r>
      <w:r>
        <w:rPr>
          <w:color w:val="0070C0"/>
          <w:highlight w:val="none"/>
        </w:rPr>
        <w:fldChar w:fldCharType="begin"/>
      </w:r>
      <w:r>
        <w:rPr>
          <w:color w:val="0070C0"/>
          <w:highlight w:val="none"/>
        </w:rPr>
        <w:instrText xml:space="preserve"> HYPERLINK "http://WWW.NOVOBBMNET.COM.BR" </w:instrText>
      </w:r>
      <w:r>
        <w:rPr>
          <w:color w:val="0070C0"/>
          <w:highlight w:val="none"/>
        </w:rPr>
        <w:fldChar w:fldCharType="separate"/>
      </w:r>
      <w:r>
        <w:rPr>
          <w:rStyle w:val="13"/>
          <w:rFonts w:asciiTheme="majorHAnsi" w:hAnsiTheme="majorHAnsi" w:cstheme="majorHAnsi"/>
          <w:b/>
          <w:bCs/>
          <w:color w:val="0070C0"/>
          <w:sz w:val="22"/>
          <w:szCs w:val="22"/>
          <w:highlight w:val="none"/>
          <w:lang w:eastAsia="en-US"/>
        </w:rPr>
        <w:t>www.novobbmnet.com.br</w:t>
      </w:r>
      <w:r>
        <w:rPr>
          <w:rStyle w:val="13"/>
          <w:rFonts w:asciiTheme="majorHAnsi" w:hAnsiTheme="majorHAnsi" w:cstheme="majorHAnsi"/>
          <w:b/>
          <w:bCs/>
          <w:color w:val="0070C0"/>
          <w:sz w:val="22"/>
          <w:szCs w:val="22"/>
          <w:highlight w:val="none"/>
          <w:lang w:eastAsia="en-US"/>
        </w:rPr>
        <w:fldChar w:fldCharType="end"/>
      </w:r>
    </w:p>
    <w:p w14:paraId="6AE2037F">
      <w:pPr>
        <w:autoSpaceDE w:val="0"/>
        <w:autoSpaceDN w:val="0"/>
        <w:adjustRightInd w:val="0"/>
        <w:spacing w:before="120" w:line="276" w:lineRule="auto"/>
        <w:rPr>
          <w:rFonts w:asciiTheme="majorHAnsi" w:hAnsiTheme="majorHAnsi" w:cstheme="majorHAnsi"/>
          <w:b w:val="0"/>
          <w:bCs w:val="0"/>
          <w:sz w:val="22"/>
          <w:szCs w:val="22"/>
          <w:highlight w:val="none"/>
          <w:lang w:eastAsia="en-US"/>
        </w:rPr>
      </w:pPr>
      <w:r>
        <w:rPr>
          <w:rFonts w:asciiTheme="majorHAnsi" w:hAnsiTheme="majorHAnsi" w:cstheme="majorHAnsi"/>
          <w:b/>
          <w:bCs/>
          <w:sz w:val="22"/>
          <w:szCs w:val="22"/>
          <w:highlight w:val="none"/>
          <w:lang w:eastAsia="en-US"/>
        </w:rPr>
        <w:t xml:space="preserve">FINALIDADE: </w:t>
      </w:r>
      <w:r>
        <w:rPr>
          <w:rFonts w:hint="default" w:ascii="Calibri" w:hAnsi="Calibri" w:cs="Calibri"/>
          <w:b w:val="0"/>
          <w:bCs w:val="0"/>
          <w:sz w:val="24"/>
          <w:szCs w:val="24"/>
          <w:highlight w:val="none"/>
        </w:rPr>
        <w:t>REGISTRO DE PREÇOS</w:t>
      </w:r>
      <w:r>
        <w:rPr>
          <w:rFonts w:asciiTheme="majorHAnsi" w:hAnsiTheme="majorHAnsi" w:cstheme="majorHAnsi"/>
          <w:b w:val="0"/>
          <w:bCs w:val="0"/>
          <w:sz w:val="22"/>
          <w:szCs w:val="22"/>
          <w:highlight w:val="none"/>
          <w:lang w:eastAsia="en-US"/>
        </w:rPr>
        <w:t xml:space="preserve"> </w:t>
      </w:r>
    </w:p>
    <w:p w14:paraId="459F5D8E">
      <w:pPr>
        <w:autoSpaceDE w:val="0"/>
        <w:autoSpaceDN w:val="0"/>
        <w:adjustRightInd w:val="0"/>
        <w:spacing w:before="120" w:line="276" w:lineRule="auto"/>
        <w:rPr>
          <w:rFonts w:asciiTheme="majorHAnsi" w:hAnsiTheme="majorHAnsi" w:cstheme="majorHAnsi"/>
          <w:b w:val="0"/>
          <w:bCs w:val="0"/>
          <w:sz w:val="22"/>
          <w:szCs w:val="22"/>
          <w:highlight w:val="none"/>
          <w:lang w:eastAsia="en-US"/>
        </w:rPr>
      </w:pPr>
      <w:r>
        <w:rPr>
          <w:sz w:val="22"/>
        </w:rPr>
        <mc:AlternateContent>
          <mc:Choice Requires="wps">
            <w:drawing>
              <wp:anchor distT="0" distB="0" distL="114300" distR="114300" simplePos="0" relativeHeight="251661312" behindDoc="0" locked="0" layoutInCell="1" allowOverlap="1">
                <wp:simplePos x="0" y="0"/>
                <wp:positionH relativeFrom="column">
                  <wp:posOffset>-46990</wp:posOffset>
                </wp:positionH>
                <wp:positionV relativeFrom="paragraph">
                  <wp:posOffset>145415</wp:posOffset>
                </wp:positionV>
                <wp:extent cx="6000750" cy="1544955"/>
                <wp:effectExtent l="4445" t="4445" r="14605" b="12700"/>
                <wp:wrapNone/>
                <wp:docPr id="14" name="Caixa de Texto 14"/>
                <wp:cNvGraphicFramePr/>
                <a:graphic xmlns:a="http://schemas.openxmlformats.org/drawingml/2006/main">
                  <a:graphicData uri="http://schemas.microsoft.com/office/word/2010/wordprocessingShape">
                    <wps:wsp>
                      <wps:cNvSpPr txBox="1"/>
                      <wps:spPr>
                        <a:xfrm>
                          <a:off x="1099820" y="3811905"/>
                          <a:ext cx="6000750" cy="15449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19CE2F4">
                            <w:pPr>
                              <w:autoSpaceDE w:val="0"/>
                              <w:autoSpaceDN w:val="0"/>
                              <w:adjustRightInd w:val="0"/>
                              <w:spacing w:before="120" w:line="276" w:lineRule="auto"/>
                              <w:rPr>
                                <w:rFonts w:asciiTheme="majorHAnsi" w:hAnsiTheme="majorHAnsi" w:cstheme="majorHAnsi"/>
                                <w:b w:val="0"/>
                                <w:bCs w:val="0"/>
                                <w:sz w:val="22"/>
                                <w:szCs w:val="22"/>
                                <w:highlight w:val="none"/>
                                <w:lang w:eastAsia="en-US"/>
                              </w:rPr>
                            </w:pPr>
                            <w:r>
                              <w:rPr>
                                <w:rFonts w:asciiTheme="majorHAnsi" w:hAnsiTheme="majorHAnsi" w:cstheme="majorHAnsi"/>
                                <w:b/>
                                <w:bCs/>
                                <w:sz w:val="22"/>
                                <w:szCs w:val="22"/>
                                <w:highlight w:val="none"/>
                                <w:lang w:eastAsia="en-US"/>
                              </w:rPr>
                              <w:t>INICIO DE RECEBIMENTO DAS PROPOSTAS</w:t>
                            </w:r>
                            <w:r>
                              <w:rPr>
                                <w:rFonts w:hint="default" w:asciiTheme="majorHAnsi" w:hAnsiTheme="majorHAnsi" w:cstheme="majorHAnsi"/>
                                <w:b/>
                                <w:bCs/>
                                <w:sz w:val="22"/>
                                <w:szCs w:val="22"/>
                                <w:highlight w:val="none"/>
                                <w:lang w:val="pt-BR" w:eastAsia="en-US"/>
                              </w:rPr>
                              <w:t xml:space="preserve">: </w:t>
                            </w:r>
                            <w:r>
                              <w:rPr>
                                <w:rFonts w:asciiTheme="majorHAnsi" w:hAnsiTheme="majorHAnsi" w:cstheme="majorHAnsi"/>
                                <w:b/>
                                <w:bCs/>
                                <w:sz w:val="22"/>
                                <w:szCs w:val="22"/>
                                <w:highlight w:val="none"/>
                                <w:lang w:eastAsia="en-US"/>
                              </w:rPr>
                              <w:t xml:space="preserve"> </w:t>
                            </w:r>
                            <w:r>
                              <w:rPr>
                                <w:rFonts w:hint="default" w:asciiTheme="majorHAnsi" w:hAnsiTheme="majorHAnsi" w:cstheme="majorHAnsi"/>
                                <w:b w:val="0"/>
                                <w:bCs w:val="0"/>
                                <w:sz w:val="22"/>
                                <w:szCs w:val="22"/>
                                <w:highlight w:val="none"/>
                                <w:lang w:val="pt-BR" w:eastAsia="en-US"/>
                              </w:rPr>
                              <w:t>10</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02</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2025</w:t>
                            </w:r>
                            <w:r>
                              <w:rPr>
                                <w:rFonts w:asciiTheme="majorHAnsi" w:hAnsiTheme="majorHAnsi" w:cstheme="majorHAnsi"/>
                                <w:b w:val="0"/>
                                <w:bCs w:val="0"/>
                                <w:sz w:val="22"/>
                                <w:szCs w:val="22"/>
                                <w:highlight w:val="none"/>
                                <w:lang w:eastAsia="en-US"/>
                              </w:rPr>
                              <w:t xml:space="preserve"> – </w:t>
                            </w:r>
                            <w:r>
                              <w:rPr>
                                <w:rFonts w:hint="default" w:asciiTheme="majorHAnsi" w:hAnsiTheme="majorHAnsi" w:cstheme="majorHAnsi"/>
                                <w:b w:val="0"/>
                                <w:bCs w:val="0"/>
                                <w:sz w:val="22"/>
                                <w:szCs w:val="22"/>
                                <w:highlight w:val="none"/>
                                <w:lang w:val="pt-BR" w:eastAsia="en-US"/>
                              </w:rPr>
                              <w:t>08:00</w:t>
                            </w:r>
                          </w:p>
                          <w:p w14:paraId="0B0639F2">
                            <w:pPr>
                              <w:autoSpaceDE w:val="0"/>
                              <w:autoSpaceDN w:val="0"/>
                              <w:adjustRightInd w:val="0"/>
                              <w:spacing w:before="120" w:line="276" w:lineRule="auto"/>
                              <w:rPr>
                                <w:rFonts w:asciiTheme="majorHAnsi" w:hAnsiTheme="majorHAnsi" w:cstheme="majorHAnsi"/>
                                <w:b w:val="0"/>
                                <w:bCs w:val="0"/>
                                <w:sz w:val="22"/>
                                <w:szCs w:val="22"/>
                                <w:highlight w:val="none"/>
                                <w:lang w:eastAsia="en-US"/>
                              </w:rPr>
                            </w:pPr>
                            <w:r>
                              <w:rPr>
                                <w:rFonts w:asciiTheme="majorHAnsi" w:hAnsiTheme="majorHAnsi" w:cstheme="majorHAnsi"/>
                                <w:b/>
                                <w:bCs/>
                                <w:sz w:val="22"/>
                                <w:szCs w:val="22"/>
                                <w:highlight w:val="none"/>
                                <w:lang w:eastAsia="en-US"/>
                              </w:rPr>
                              <w:t xml:space="preserve">TÉRMINO DO RECEBIMENTO DE PROPOSTAS: </w:t>
                            </w:r>
                            <w:r>
                              <w:rPr>
                                <w:rFonts w:hint="default" w:asciiTheme="majorHAnsi" w:hAnsiTheme="majorHAnsi" w:cstheme="majorHAnsi"/>
                                <w:b w:val="0"/>
                                <w:bCs w:val="0"/>
                                <w:sz w:val="22"/>
                                <w:szCs w:val="22"/>
                                <w:highlight w:val="none"/>
                                <w:lang w:val="pt-BR" w:eastAsia="en-US"/>
                              </w:rPr>
                              <w:t>26</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02</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2025</w:t>
                            </w:r>
                            <w:r>
                              <w:rPr>
                                <w:rFonts w:asciiTheme="majorHAnsi" w:hAnsiTheme="majorHAnsi" w:cstheme="majorHAnsi"/>
                                <w:b w:val="0"/>
                                <w:bCs w:val="0"/>
                                <w:sz w:val="22"/>
                                <w:szCs w:val="22"/>
                                <w:highlight w:val="none"/>
                                <w:lang w:eastAsia="en-US"/>
                              </w:rPr>
                              <w:t xml:space="preserve"> – </w:t>
                            </w:r>
                            <w:r>
                              <w:rPr>
                                <w:rFonts w:hint="default" w:asciiTheme="majorHAnsi" w:hAnsiTheme="majorHAnsi" w:cstheme="majorHAnsi"/>
                                <w:b w:val="0"/>
                                <w:bCs w:val="0"/>
                                <w:sz w:val="22"/>
                                <w:szCs w:val="22"/>
                                <w:highlight w:val="none"/>
                                <w:lang w:val="pt-BR" w:eastAsia="en-US"/>
                              </w:rPr>
                              <w:t>08:00</w:t>
                            </w:r>
                          </w:p>
                          <w:p w14:paraId="3008D01C">
                            <w:pPr>
                              <w:autoSpaceDE w:val="0"/>
                              <w:autoSpaceDN w:val="0"/>
                              <w:adjustRightInd w:val="0"/>
                              <w:spacing w:before="120" w:line="276" w:lineRule="auto"/>
                              <w:rPr>
                                <w:rFonts w:asciiTheme="majorHAnsi" w:hAnsiTheme="majorHAnsi" w:cstheme="majorHAnsi"/>
                                <w:b w:val="0"/>
                                <w:bCs w:val="0"/>
                                <w:sz w:val="22"/>
                                <w:szCs w:val="22"/>
                                <w:highlight w:val="none"/>
                                <w:lang w:eastAsia="en-US"/>
                              </w:rPr>
                            </w:pPr>
                            <w:r>
                              <w:rPr>
                                <w:rFonts w:asciiTheme="majorHAnsi" w:hAnsiTheme="majorHAnsi" w:cstheme="majorHAnsi"/>
                                <w:b/>
                                <w:bCs/>
                                <w:sz w:val="22"/>
                                <w:szCs w:val="22"/>
                                <w:highlight w:val="none"/>
                                <w:lang w:eastAsia="en-US"/>
                              </w:rPr>
                              <w:t xml:space="preserve">ABERTURA E ANÁLISE DE PROPOSTA: </w:t>
                            </w:r>
                            <w:r>
                              <w:rPr>
                                <w:rFonts w:hint="default" w:asciiTheme="majorHAnsi" w:hAnsiTheme="majorHAnsi" w:cstheme="majorHAnsi"/>
                                <w:b w:val="0"/>
                                <w:bCs w:val="0"/>
                                <w:sz w:val="22"/>
                                <w:szCs w:val="22"/>
                                <w:highlight w:val="none"/>
                                <w:lang w:val="pt-BR" w:eastAsia="en-US"/>
                              </w:rPr>
                              <w:t>26</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02</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2025</w:t>
                            </w:r>
                            <w:r>
                              <w:rPr>
                                <w:rFonts w:asciiTheme="majorHAnsi" w:hAnsiTheme="majorHAnsi" w:cstheme="majorHAnsi"/>
                                <w:b w:val="0"/>
                                <w:bCs w:val="0"/>
                                <w:sz w:val="22"/>
                                <w:szCs w:val="22"/>
                                <w:highlight w:val="none"/>
                                <w:lang w:eastAsia="en-US"/>
                              </w:rPr>
                              <w:t xml:space="preserve"> – </w:t>
                            </w:r>
                            <w:r>
                              <w:rPr>
                                <w:rFonts w:hint="default" w:asciiTheme="majorHAnsi" w:hAnsiTheme="majorHAnsi" w:cstheme="majorHAnsi"/>
                                <w:b w:val="0"/>
                                <w:bCs w:val="0"/>
                                <w:sz w:val="22"/>
                                <w:szCs w:val="22"/>
                                <w:highlight w:val="none"/>
                                <w:lang w:val="pt-BR" w:eastAsia="en-US"/>
                              </w:rPr>
                              <w:t>08:01</w:t>
                            </w:r>
                          </w:p>
                          <w:p w14:paraId="38B2E577">
                            <w:pPr>
                              <w:autoSpaceDE w:val="0"/>
                              <w:autoSpaceDN w:val="0"/>
                              <w:adjustRightInd w:val="0"/>
                              <w:spacing w:before="120" w:line="276" w:lineRule="auto"/>
                              <w:rPr>
                                <w:rFonts w:hint="default" w:asciiTheme="majorHAnsi" w:hAnsiTheme="majorHAnsi" w:cstheme="majorHAnsi"/>
                                <w:b w:val="0"/>
                                <w:bCs w:val="0"/>
                                <w:sz w:val="22"/>
                                <w:szCs w:val="22"/>
                                <w:highlight w:val="yellow"/>
                                <w:lang w:val="pt-BR" w:eastAsia="en-US"/>
                              </w:rPr>
                            </w:pPr>
                            <w:r>
                              <w:rPr>
                                <w:rFonts w:asciiTheme="majorHAnsi" w:hAnsiTheme="majorHAnsi" w:cstheme="majorHAnsi"/>
                                <w:b/>
                                <w:bCs/>
                                <w:sz w:val="22"/>
                                <w:szCs w:val="22"/>
                                <w:highlight w:val="none"/>
                                <w:lang w:eastAsia="en-US"/>
                              </w:rPr>
                              <w:t xml:space="preserve">INÍCIO DA ETAPA DE LANCES: </w:t>
                            </w:r>
                            <w:r>
                              <w:rPr>
                                <w:rFonts w:hint="default" w:asciiTheme="majorHAnsi" w:hAnsiTheme="majorHAnsi" w:cstheme="majorHAnsi"/>
                                <w:b w:val="0"/>
                                <w:bCs w:val="0"/>
                                <w:sz w:val="22"/>
                                <w:szCs w:val="22"/>
                                <w:highlight w:val="cyan"/>
                                <w:lang w:val="pt-BR" w:eastAsia="en-US"/>
                              </w:rPr>
                              <w:t>26</w:t>
                            </w:r>
                            <w:r>
                              <w:rPr>
                                <w:rFonts w:asciiTheme="majorHAnsi" w:hAnsiTheme="majorHAnsi" w:cstheme="majorHAnsi"/>
                                <w:b w:val="0"/>
                                <w:bCs w:val="0"/>
                                <w:sz w:val="22"/>
                                <w:szCs w:val="22"/>
                                <w:highlight w:val="cyan"/>
                                <w:lang w:eastAsia="en-US"/>
                              </w:rPr>
                              <w:t>/</w:t>
                            </w:r>
                            <w:r>
                              <w:rPr>
                                <w:rFonts w:hint="default" w:asciiTheme="majorHAnsi" w:hAnsiTheme="majorHAnsi" w:cstheme="majorHAnsi"/>
                                <w:b w:val="0"/>
                                <w:bCs w:val="0"/>
                                <w:sz w:val="22"/>
                                <w:szCs w:val="22"/>
                                <w:highlight w:val="cyan"/>
                                <w:lang w:val="pt-BR" w:eastAsia="en-US"/>
                              </w:rPr>
                              <w:t>02</w:t>
                            </w:r>
                            <w:r>
                              <w:rPr>
                                <w:rFonts w:asciiTheme="majorHAnsi" w:hAnsiTheme="majorHAnsi" w:cstheme="majorHAnsi"/>
                                <w:b w:val="0"/>
                                <w:bCs w:val="0"/>
                                <w:sz w:val="22"/>
                                <w:szCs w:val="22"/>
                                <w:highlight w:val="cyan"/>
                                <w:lang w:eastAsia="en-US"/>
                              </w:rPr>
                              <w:t>/</w:t>
                            </w:r>
                            <w:r>
                              <w:rPr>
                                <w:rFonts w:hint="default" w:asciiTheme="majorHAnsi" w:hAnsiTheme="majorHAnsi" w:cstheme="majorHAnsi"/>
                                <w:b w:val="0"/>
                                <w:bCs w:val="0"/>
                                <w:sz w:val="22"/>
                                <w:szCs w:val="22"/>
                                <w:highlight w:val="cyan"/>
                                <w:lang w:val="pt-BR" w:eastAsia="en-US"/>
                              </w:rPr>
                              <w:t>2025</w:t>
                            </w:r>
                            <w:r>
                              <w:rPr>
                                <w:rFonts w:asciiTheme="majorHAnsi" w:hAnsiTheme="majorHAnsi" w:cstheme="majorHAnsi"/>
                                <w:b w:val="0"/>
                                <w:bCs w:val="0"/>
                                <w:sz w:val="22"/>
                                <w:szCs w:val="22"/>
                                <w:highlight w:val="cyan"/>
                                <w:lang w:eastAsia="en-US"/>
                              </w:rPr>
                              <w:t xml:space="preserve"> – </w:t>
                            </w:r>
                            <w:r>
                              <w:rPr>
                                <w:rFonts w:hint="default" w:asciiTheme="majorHAnsi" w:hAnsiTheme="majorHAnsi" w:cstheme="majorHAnsi"/>
                                <w:b w:val="0"/>
                                <w:bCs w:val="0"/>
                                <w:sz w:val="22"/>
                                <w:szCs w:val="22"/>
                                <w:highlight w:val="cyan"/>
                                <w:lang w:val="pt-BR" w:eastAsia="en-US"/>
                              </w:rPr>
                              <w:t>09</w:t>
                            </w:r>
                            <w:r>
                              <w:rPr>
                                <w:rFonts w:asciiTheme="majorHAnsi" w:hAnsiTheme="majorHAnsi" w:cstheme="majorHAnsi"/>
                                <w:b w:val="0"/>
                                <w:bCs w:val="0"/>
                                <w:sz w:val="22"/>
                                <w:szCs w:val="22"/>
                                <w:highlight w:val="cyan"/>
                                <w:lang w:eastAsia="en-US"/>
                              </w:rPr>
                              <w:t>.</w:t>
                            </w:r>
                            <w:r>
                              <w:rPr>
                                <w:rFonts w:hint="default" w:asciiTheme="majorHAnsi" w:hAnsiTheme="majorHAnsi" w:cstheme="majorHAnsi"/>
                                <w:b w:val="0"/>
                                <w:bCs w:val="0"/>
                                <w:sz w:val="22"/>
                                <w:szCs w:val="22"/>
                                <w:highlight w:val="cyan"/>
                                <w:lang w:val="pt-BR" w:eastAsia="en-US"/>
                              </w:rPr>
                              <w:t>00</w:t>
                            </w:r>
                          </w:p>
                          <w:p w14:paraId="014AAFEB">
                            <w:pPr>
                              <w:keepNext w:val="0"/>
                              <w:keepLines w:val="0"/>
                              <w:pageBreakBefore w:val="0"/>
                              <w:widowControl/>
                              <w:kinsoku/>
                              <w:wordWrap/>
                              <w:overflowPunct/>
                              <w:topLinePunct w:val="0"/>
                              <w:autoSpaceDE w:val="0"/>
                              <w:autoSpaceDN w:val="0"/>
                              <w:bidi w:val="0"/>
                              <w:adjustRightInd w:val="0"/>
                              <w:snapToGrid/>
                              <w:spacing w:line="240" w:lineRule="auto"/>
                              <w:textAlignment w:val="auto"/>
                              <w:rPr>
                                <w:rFonts w:asciiTheme="majorHAnsi" w:hAnsiTheme="majorHAnsi" w:cstheme="majorHAnsi"/>
                                <w:b w:val="0"/>
                                <w:bCs w:val="0"/>
                                <w:sz w:val="22"/>
                                <w:szCs w:val="22"/>
                                <w:highlight w:val="yellow"/>
                                <w:lang w:eastAsia="en-US"/>
                              </w:rPr>
                            </w:pPr>
                          </w:p>
                          <w:p w14:paraId="42DA0AE8">
                            <w:pPr>
                              <w:keepLines/>
                              <w:jc w:val="both"/>
                              <w:rPr>
                                <w:rFonts w:hint="default" w:ascii="Calibri" w:hAnsi="Calibri" w:cs="Calibri"/>
                                <w:sz w:val="20"/>
                                <w:szCs w:val="20"/>
                              </w:rPr>
                            </w:pPr>
                            <w:r>
                              <w:rPr>
                                <w:rFonts w:hint="default" w:ascii="Calibri" w:hAnsi="Calibri" w:cs="Calibri"/>
                                <w:i/>
                                <w:iCs/>
                                <w:sz w:val="18"/>
                                <w:szCs w:val="18"/>
                                <w:lang w:val="pt-BR"/>
                              </w:rPr>
                              <w:t>Deverão os licitantes ficarem cientes para acompanhamento de eventuais alterações até a data marcada para abertura</w:t>
                            </w:r>
                          </w:p>
                          <w:p w14:paraId="5F8194B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pt;margin-top:11.45pt;height:121.65pt;width:472.5pt;z-index:251661312;mso-width-relative:page;mso-height-relative:page;" fillcolor="#FFFFFF [3201]" filled="t" stroked="t" coordsize="21600,21600" o:gfxdata="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AiAGvX&#10;AAAACQEAAA8AAAAAAAAAAQAgAAAAIgAAAGRycy9kb3ducmV2LnhtbFBLAQIUABQAAAAIAIdO4kBV&#10;b3cNWgIAAMsEAAAOAAAAAAAAAAEAIAAAACYBAABkcnMvZTJvRG9jLnhtbFBLBQYAAAAABgAGAFkB&#10;AADyBQAAAAA=&#10;">
                <v:fill on="t" focussize="0,0"/>
                <v:stroke weight="0.5pt" color="#000000 [3204]" joinstyle="round"/>
                <v:imagedata o:title=""/>
                <o:lock v:ext="edit" aspectratio="f"/>
                <v:textbox>
                  <w:txbxContent>
                    <w:p w14:paraId="519CE2F4">
                      <w:pPr>
                        <w:autoSpaceDE w:val="0"/>
                        <w:autoSpaceDN w:val="0"/>
                        <w:adjustRightInd w:val="0"/>
                        <w:spacing w:before="120" w:line="276" w:lineRule="auto"/>
                        <w:rPr>
                          <w:rFonts w:asciiTheme="majorHAnsi" w:hAnsiTheme="majorHAnsi" w:cstheme="majorHAnsi"/>
                          <w:b w:val="0"/>
                          <w:bCs w:val="0"/>
                          <w:sz w:val="22"/>
                          <w:szCs w:val="22"/>
                          <w:highlight w:val="none"/>
                          <w:lang w:eastAsia="en-US"/>
                        </w:rPr>
                      </w:pPr>
                      <w:r>
                        <w:rPr>
                          <w:rFonts w:asciiTheme="majorHAnsi" w:hAnsiTheme="majorHAnsi" w:cstheme="majorHAnsi"/>
                          <w:b/>
                          <w:bCs/>
                          <w:sz w:val="22"/>
                          <w:szCs w:val="22"/>
                          <w:highlight w:val="none"/>
                          <w:lang w:eastAsia="en-US"/>
                        </w:rPr>
                        <w:t>INICIO DE RECEBIMENTO DAS PROPOSTAS</w:t>
                      </w:r>
                      <w:r>
                        <w:rPr>
                          <w:rFonts w:hint="default" w:asciiTheme="majorHAnsi" w:hAnsiTheme="majorHAnsi" w:cstheme="majorHAnsi"/>
                          <w:b/>
                          <w:bCs/>
                          <w:sz w:val="22"/>
                          <w:szCs w:val="22"/>
                          <w:highlight w:val="none"/>
                          <w:lang w:val="pt-BR" w:eastAsia="en-US"/>
                        </w:rPr>
                        <w:t xml:space="preserve">: </w:t>
                      </w:r>
                      <w:r>
                        <w:rPr>
                          <w:rFonts w:asciiTheme="majorHAnsi" w:hAnsiTheme="majorHAnsi" w:cstheme="majorHAnsi"/>
                          <w:b/>
                          <w:bCs/>
                          <w:sz w:val="22"/>
                          <w:szCs w:val="22"/>
                          <w:highlight w:val="none"/>
                          <w:lang w:eastAsia="en-US"/>
                        </w:rPr>
                        <w:t xml:space="preserve"> </w:t>
                      </w:r>
                      <w:r>
                        <w:rPr>
                          <w:rFonts w:hint="default" w:asciiTheme="majorHAnsi" w:hAnsiTheme="majorHAnsi" w:cstheme="majorHAnsi"/>
                          <w:b w:val="0"/>
                          <w:bCs w:val="0"/>
                          <w:sz w:val="22"/>
                          <w:szCs w:val="22"/>
                          <w:highlight w:val="none"/>
                          <w:lang w:val="pt-BR" w:eastAsia="en-US"/>
                        </w:rPr>
                        <w:t>10</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02</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2025</w:t>
                      </w:r>
                      <w:r>
                        <w:rPr>
                          <w:rFonts w:asciiTheme="majorHAnsi" w:hAnsiTheme="majorHAnsi" w:cstheme="majorHAnsi"/>
                          <w:b w:val="0"/>
                          <w:bCs w:val="0"/>
                          <w:sz w:val="22"/>
                          <w:szCs w:val="22"/>
                          <w:highlight w:val="none"/>
                          <w:lang w:eastAsia="en-US"/>
                        </w:rPr>
                        <w:t xml:space="preserve"> – </w:t>
                      </w:r>
                      <w:r>
                        <w:rPr>
                          <w:rFonts w:hint="default" w:asciiTheme="majorHAnsi" w:hAnsiTheme="majorHAnsi" w:cstheme="majorHAnsi"/>
                          <w:b w:val="0"/>
                          <w:bCs w:val="0"/>
                          <w:sz w:val="22"/>
                          <w:szCs w:val="22"/>
                          <w:highlight w:val="none"/>
                          <w:lang w:val="pt-BR" w:eastAsia="en-US"/>
                        </w:rPr>
                        <w:t>08:00</w:t>
                      </w:r>
                    </w:p>
                    <w:p w14:paraId="0B0639F2">
                      <w:pPr>
                        <w:autoSpaceDE w:val="0"/>
                        <w:autoSpaceDN w:val="0"/>
                        <w:adjustRightInd w:val="0"/>
                        <w:spacing w:before="120" w:line="276" w:lineRule="auto"/>
                        <w:rPr>
                          <w:rFonts w:asciiTheme="majorHAnsi" w:hAnsiTheme="majorHAnsi" w:cstheme="majorHAnsi"/>
                          <w:b w:val="0"/>
                          <w:bCs w:val="0"/>
                          <w:sz w:val="22"/>
                          <w:szCs w:val="22"/>
                          <w:highlight w:val="none"/>
                          <w:lang w:eastAsia="en-US"/>
                        </w:rPr>
                      </w:pPr>
                      <w:r>
                        <w:rPr>
                          <w:rFonts w:asciiTheme="majorHAnsi" w:hAnsiTheme="majorHAnsi" w:cstheme="majorHAnsi"/>
                          <w:b/>
                          <w:bCs/>
                          <w:sz w:val="22"/>
                          <w:szCs w:val="22"/>
                          <w:highlight w:val="none"/>
                          <w:lang w:eastAsia="en-US"/>
                        </w:rPr>
                        <w:t xml:space="preserve">TÉRMINO DO RECEBIMENTO DE PROPOSTAS: </w:t>
                      </w:r>
                      <w:r>
                        <w:rPr>
                          <w:rFonts w:hint="default" w:asciiTheme="majorHAnsi" w:hAnsiTheme="majorHAnsi" w:cstheme="majorHAnsi"/>
                          <w:b w:val="0"/>
                          <w:bCs w:val="0"/>
                          <w:sz w:val="22"/>
                          <w:szCs w:val="22"/>
                          <w:highlight w:val="none"/>
                          <w:lang w:val="pt-BR" w:eastAsia="en-US"/>
                        </w:rPr>
                        <w:t>26</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02</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2025</w:t>
                      </w:r>
                      <w:r>
                        <w:rPr>
                          <w:rFonts w:asciiTheme="majorHAnsi" w:hAnsiTheme="majorHAnsi" w:cstheme="majorHAnsi"/>
                          <w:b w:val="0"/>
                          <w:bCs w:val="0"/>
                          <w:sz w:val="22"/>
                          <w:szCs w:val="22"/>
                          <w:highlight w:val="none"/>
                          <w:lang w:eastAsia="en-US"/>
                        </w:rPr>
                        <w:t xml:space="preserve"> – </w:t>
                      </w:r>
                      <w:r>
                        <w:rPr>
                          <w:rFonts w:hint="default" w:asciiTheme="majorHAnsi" w:hAnsiTheme="majorHAnsi" w:cstheme="majorHAnsi"/>
                          <w:b w:val="0"/>
                          <w:bCs w:val="0"/>
                          <w:sz w:val="22"/>
                          <w:szCs w:val="22"/>
                          <w:highlight w:val="none"/>
                          <w:lang w:val="pt-BR" w:eastAsia="en-US"/>
                        </w:rPr>
                        <w:t>08:00</w:t>
                      </w:r>
                    </w:p>
                    <w:p w14:paraId="3008D01C">
                      <w:pPr>
                        <w:autoSpaceDE w:val="0"/>
                        <w:autoSpaceDN w:val="0"/>
                        <w:adjustRightInd w:val="0"/>
                        <w:spacing w:before="120" w:line="276" w:lineRule="auto"/>
                        <w:rPr>
                          <w:rFonts w:asciiTheme="majorHAnsi" w:hAnsiTheme="majorHAnsi" w:cstheme="majorHAnsi"/>
                          <w:b w:val="0"/>
                          <w:bCs w:val="0"/>
                          <w:sz w:val="22"/>
                          <w:szCs w:val="22"/>
                          <w:highlight w:val="none"/>
                          <w:lang w:eastAsia="en-US"/>
                        </w:rPr>
                      </w:pPr>
                      <w:r>
                        <w:rPr>
                          <w:rFonts w:asciiTheme="majorHAnsi" w:hAnsiTheme="majorHAnsi" w:cstheme="majorHAnsi"/>
                          <w:b/>
                          <w:bCs/>
                          <w:sz w:val="22"/>
                          <w:szCs w:val="22"/>
                          <w:highlight w:val="none"/>
                          <w:lang w:eastAsia="en-US"/>
                        </w:rPr>
                        <w:t xml:space="preserve">ABERTURA E ANÁLISE DE PROPOSTA: </w:t>
                      </w:r>
                      <w:r>
                        <w:rPr>
                          <w:rFonts w:hint="default" w:asciiTheme="majorHAnsi" w:hAnsiTheme="majorHAnsi" w:cstheme="majorHAnsi"/>
                          <w:b w:val="0"/>
                          <w:bCs w:val="0"/>
                          <w:sz w:val="22"/>
                          <w:szCs w:val="22"/>
                          <w:highlight w:val="none"/>
                          <w:lang w:val="pt-BR" w:eastAsia="en-US"/>
                        </w:rPr>
                        <w:t>26</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02</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2025</w:t>
                      </w:r>
                      <w:r>
                        <w:rPr>
                          <w:rFonts w:asciiTheme="majorHAnsi" w:hAnsiTheme="majorHAnsi" w:cstheme="majorHAnsi"/>
                          <w:b w:val="0"/>
                          <w:bCs w:val="0"/>
                          <w:sz w:val="22"/>
                          <w:szCs w:val="22"/>
                          <w:highlight w:val="none"/>
                          <w:lang w:eastAsia="en-US"/>
                        </w:rPr>
                        <w:t xml:space="preserve"> – </w:t>
                      </w:r>
                      <w:r>
                        <w:rPr>
                          <w:rFonts w:hint="default" w:asciiTheme="majorHAnsi" w:hAnsiTheme="majorHAnsi" w:cstheme="majorHAnsi"/>
                          <w:b w:val="0"/>
                          <w:bCs w:val="0"/>
                          <w:sz w:val="22"/>
                          <w:szCs w:val="22"/>
                          <w:highlight w:val="none"/>
                          <w:lang w:val="pt-BR" w:eastAsia="en-US"/>
                        </w:rPr>
                        <w:t>08:01</w:t>
                      </w:r>
                    </w:p>
                    <w:p w14:paraId="38B2E577">
                      <w:pPr>
                        <w:autoSpaceDE w:val="0"/>
                        <w:autoSpaceDN w:val="0"/>
                        <w:adjustRightInd w:val="0"/>
                        <w:spacing w:before="120" w:line="276" w:lineRule="auto"/>
                        <w:rPr>
                          <w:rFonts w:hint="default" w:asciiTheme="majorHAnsi" w:hAnsiTheme="majorHAnsi" w:cstheme="majorHAnsi"/>
                          <w:b w:val="0"/>
                          <w:bCs w:val="0"/>
                          <w:sz w:val="22"/>
                          <w:szCs w:val="22"/>
                          <w:highlight w:val="yellow"/>
                          <w:lang w:val="pt-BR" w:eastAsia="en-US"/>
                        </w:rPr>
                      </w:pPr>
                      <w:r>
                        <w:rPr>
                          <w:rFonts w:asciiTheme="majorHAnsi" w:hAnsiTheme="majorHAnsi" w:cstheme="majorHAnsi"/>
                          <w:b/>
                          <w:bCs/>
                          <w:sz w:val="22"/>
                          <w:szCs w:val="22"/>
                          <w:highlight w:val="none"/>
                          <w:lang w:eastAsia="en-US"/>
                        </w:rPr>
                        <w:t xml:space="preserve">INÍCIO DA ETAPA DE LANCES: </w:t>
                      </w:r>
                      <w:r>
                        <w:rPr>
                          <w:rFonts w:hint="default" w:asciiTheme="majorHAnsi" w:hAnsiTheme="majorHAnsi" w:cstheme="majorHAnsi"/>
                          <w:b w:val="0"/>
                          <w:bCs w:val="0"/>
                          <w:sz w:val="22"/>
                          <w:szCs w:val="22"/>
                          <w:highlight w:val="cyan"/>
                          <w:lang w:val="pt-BR" w:eastAsia="en-US"/>
                        </w:rPr>
                        <w:t>26</w:t>
                      </w:r>
                      <w:r>
                        <w:rPr>
                          <w:rFonts w:asciiTheme="majorHAnsi" w:hAnsiTheme="majorHAnsi" w:cstheme="majorHAnsi"/>
                          <w:b w:val="0"/>
                          <w:bCs w:val="0"/>
                          <w:sz w:val="22"/>
                          <w:szCs w:val="22"/>
                          <w:highlight w:val="cyan"/>
                          <w:lang w:eastAsia="en-US"/>
                        </w:rPr>
                        <w:t>/</w:t>
                      </w:r>
                      <w:r>
                        <w:rPr>
                          <w:rFonts w:hint="default" w:asciiTheme="majorHAnsi" w:hAnsiTheme="majorHAnsi" w:cstheme="majorHAnsi"/>
                          <w:b w:val="0"/>
                          <w:bCs w:val="0"/>
                          <w:sz w:val="22"/>
                          <w:szCs w:val="22"/>
                          <w:highlight w:val="cyan"/>
                          <w:lang w:val="pt-BR" w:eastAsia="en-US"/>
                        </w:rPr>
                        <w:t>02</w:t>
                      </w:r>
                      <w:r>
                        <w:rPr>
                          <w:rFonts w:asciiTheme="majorHAnsi" w:hAnsiTheme="majorHAnsi" w:cstheme="majorHAnsi"/>
                          <w:b w:val="0"/>
                          <w:bCs w:val="0"/>
                          <w:sz w:val="22"/>
                          <w:szCs w:val="22"/>
                          <w:highlight w:val="cyan"/>
                          <w:lang w:eastAsia="en-US"/>
                        </w:rPr>
                        <w:t>/</w:t>
                      </w:r>
                      <w:r>
                        <w:rPr>
                          <w:rFonts w:hint="default" w:asciiTheme="majorHAnsi" w:hAnsiTheme="majorHAnsi" w:cstheme="majorHAnsi"/>
                          <w:b w:val="0"/>
                          <w:bCs w:val="0"/>
                          <w:sz w:val="22"/>
                          <w:szCs w:val="22"/>
                          <w:highlight w:val="cyan"/>
                          <w:lang w:val="pt-BR" w:eastAsia="en-US"/>
                        </w:rPr>
                        <w:t>2025</w:t>
                      </w:r>
                      <w:r>
                        <w:rPr>
                          <w:rFonts w:asciiTheme="majorHAnsi" w:hAnsiTheme="majorHAnsi" w:cstheme="majorHAnsi"/>
                          <w:b w:val="0"/>
                          <w:bCs w:val="0"/>
                          <w:sz w:val="22"/>
                          <w:szCs w:val="22"/>
                          <w:highlight w:val="cyan"/>
                          <w:lang w:eastAsia="en-US"/>
                        </w:rPr>
                        <w:t xml:space="preserve"> – </w:t>
                      </w:r>
                      <w:r>
                        <w:rPr>
                          <w:rFonts w:hint="default" w:asciiTheme="majorHAnsi" w:hAnsiTheme="majorHAnsi" w:cstheme="majorHAnsi"/>
                          <w:b w:val="0"/>
                          <w:bCs w:val="0"/>
                          <w:sz w:val="22"/>
                          <w:szCs w:val="22"/>
                          <w:highlight w:val="cyan"/>
                          <w:lang w:val="pt-BR" w:eastAsia="en-US"/>
                        </w:rPr>
                        <w:t>09</w:t>
                      </w:r>
                      <w:r>
                        <w:rPr>
                          <w:rFonts w:asciiTheme="majorHAnsi" w:hAnsiTheme="majorHAnsi" w:cstheme="majorHAnsi"/>
                          <w:b w:val="0"/>
                          <w:bCs w:val="0"/>
                          <w:sz w:val="22"/>
                          <w:szCs w:val="22"/>
                          <w:highlight w:val="cyan"/>
                          <w:lang w:eastAsia="en-US"/>
                        </w:rPr>
                        <w:t>.</w:t>
                      </w:r>
                      <w:r>
                        <w:rPr>
                          <w:rFonts w:hint="default" w:asciiTheme="majorHAnsi" w:hAnsiTheme="majorHAnsi" w:cstheme="majorHAnsi"/>
                          <w:b w:val="0"/>
                          <w:bCs w:val="0"/>
                          <w:sz w:val="22"/>
                          <w:szCs w:val="22"/>
                          <w:highlight w:val="cyan"/>
                          <w:lang w:val="pt-BR" w:eastAsia="en-US"/>
                        </w:rPr>
                        <w:t>00</w:t>
                      </w:r>
                    </w:p>
                    <w:p w14:paraId="014AAFEB">
                      <w:pPr>
                        <w:keepNext w:val="0"/>
                        <w:keepLines w:val="0"/>
                        <w:pageBreakBefore w:val="0"/>
                        <w:widowControl/>
                        <w:kinsoku/>
                        <w:wordWrap/>
                        <w:overflowPunct/>
                        <w:topLinePunct w:val="0"/>
                        <w:autoSpaceDE w:val="0"/>
                        <w:autoSpaceDN w:val="0"/>
                        <w:bidi w:val="0"/>
                        <w:adjustRightInd w:val="0"/>
                        <w:snapToGrid/>
                        <w:spacing w:line="240" w:lineRule="auto"/>
                        <w:textAlignment w:val="auto"/>
                        <w:rPr>
                          <w:rFonts w:asciiTheme="majorHAnsi" w:hAnsiTheme="majorHAnsi" w:cstheme="majorHAnsi"/>
                          <w:b w:val="0"/>
                          <w:bCs w:val="0"/>
                          <w:sz w:val="22"/>
                          <w:szCs w:val="22"/>
                          <w:highlight w:val="yellow"/>
                          <w:lang w:eastAsia="en-US"/>
                        </w:rPr>
                      </w:pPr>
                    </w:p>
                    <w:p w14:paraId="42DA0AE8">
                      <w:pPr>
                        <w:keepLines/>
                        <w:jc w:val="both"/>
                        <w:rPr>
                          <w:rFonts w:hint="default" w:ascii="Calibri" w:hAnsi="Calibri" w:cs="Calibri"/>
                          <w:sz w:val="20"/>
                          <w:szCs w:val="20"/>
                        </w:rPr>
                      </w:pPr>
                      <w:r>
                        <w:rPr>
                          <w:rFonts w:hint="default" w:ascii="Calibri" w:hAnsi="Calibri" w:cs="Calibri"/>
                          <w:i/>
                          <w:iCs/>
                          <w:sz w:val="18"/>
                          <w:szCs w:val="18"/>
                          <w:lang w:val="pt-BR"/>
                        </w:rPr>
                        <w:t>Deverão os licitantes ficarem cientes para acompanhamento de eventuais alterações até a data marcada para abertura</w:t>
                      </w:r>
                    </w:p>
                    <w:p w14:paraId="5F8194BB"/>
                  </w:txbxContent>
                </v:textbox>
              </v:shape>
            </w:pict>
          </mc:Fallback>
        </mc:AlternateContent>
      </w:r>
    </w:p>
    <w:p w14:paraId="2C0DA596">
      <w:pPr>
        <w:autoSpaceDE w:val="0"/>
        <w:autoSpaceDN w:val="0"/>
        <w:adjustRightInd w:val="0"/>
        <w:spacing w:before="120" w:line="276" w:lineRule="auto"/>
        <w:rPr>
          <w:rFonts w:asciiTheme="majorHAnsi" w:hAnsiTheme="majorHAnsi" w:cstheme="majorHAnsi"/>
          <w:b w:val="0"/>
          <w:bCs w:val="0"/>
          <w:sz w:val="22"/>
          <w:szCs w:val="22"/>
          <w:highlight w:val="none"/>
          <w:lang w:eastAsia="en-US"/>
        </w:rPr>
      </w:pPr>
    </w:p>
    <w:p w14:paraId="6D4E07C2">
      <w:pPr>
        <w:spacing w:before="120" w:line="276" w:lineRule="auto"/>
        <w:rPr>
          <w:rFonts w:asciiTheme="majorHAnsi" w:hAnsiTheme="majorHAnsi" w:cstheme="majorHAnsi"/>
          <w:b/>
          <w:bCs/>
          <w:sz w:val="22"/>
          <w:szCs w:val="22"/>
          <w:highlight w:val="none"/>
          <w:lang w:eastAsia="en-US"/>
        </w:rPr>
      </w:pPr>
    </w:p>
    <w:p w14:paraId="2D860197">
      <w:pPr>
        <w:spacing w:before="120" w:line="276" w:lineRule="auto"/>
        <w:rPr>
          <w:rFonts w:asciiTheme="majorHAnsi" w:hAnsiTheme="majorHAnsi" w:cstheme="majorHAnsi"/>
          <w:b/>
          <w:bCs/>
          <w:sz w:val="22"/>
          <w:szCs w:val="22"/>
          <w:highlight w:val="none"/>
          <w:lang w:eastAsia="en-US"/>
        </w:rPr>
      </w:pPr>
    </w:p>
    <w:p w14:paraId="2705BED4">
      <w:pPr>
        <w:spacing w:before="120" w:line="276" w:lineRule="auto"/>
        <w:rPr>
          <w:rFonts w:asciiTheme="majorHAnsi" w:hAnsiTheme="majorHAnsi" w:cstheme="majorHAnsi"/>
          <w:b/>
          <w:bCs/>
          <w:sz w:val="22"/>
          <w:szCs w:val="22"/>
          <w:highlight w:val="none"/>
          <w:lang w:eastAsia="en-US"/>
        </w:rPr>
      </w:pPr>
    </w:p>
    <w:p w14:paraId="42AFA721">
      <w:pPr>
        <w:spacing w:before="120" w:line="276" w:lineRule="auto"/>
        <w:rPr>
          <w:rFonts w:asciiTheme="majorHAnsi" w:hAnsiTheme="majorHAnsi" w:cstheme="majorHAnsi"/>
          <w:b/>
          <w:bCs/>
          <w:sz w:val="22"/>
          <w:szCs w:val="22"/>
          <w:highlight w:val="none"/>
          <w:lang w:eastAsia="en-US"/>
        </w:rPr>
      </w:pPr>
    </w:p>
    <w:p w14:paraId="25656A33">
      <w:pPr>
        <w:spacing w:before="120" w:line="276" w:lineRule="auto"/>
        <w:rPr>
          <w:rFonts w:asciiTheme="majorHAnsi" w:hAnsiTheme="majorHAnsi" w:cstheme="majorHAnsi"/>
          <w:b/>
          <w:bCs/>
          <w:sz w:val="22"/>
          <w:szCs w:val="22"/>
          <w:highlight w:val="none"/>
          <w:lang w:eastAsia="en-US"/>
        </w:rPr>
      </w:pPr>
    </w:p>
    <w:p w14:paraId="5C460D4A">
      <w:pPr>
        <w:spacing w:before="120" w:line="276" w:lineRule="auto"/>
        <w:rPr>
          <w:rFonts w:asciiTheme="majorHAnsi" w:hAnsiTheme="majorHAnsi" w:cstheme="majorHAnsi"/>
          <w:b/>
          <w:bCs/>
          <w:sz w:val="22"/>
          <w:szCs w:val="22"/>
          <w:highlight w:val="none"/>
          <w:lang w:eastAsia="en-US"/>
        </w:rPr>
      </w:pPr>
      <w:r>
        <w:rPr>
          <w:rFonts w:asciiTheme="majorHAnsi" w:hAnsiTheme="majorHAnsi" w:cstheme="majorHAnsi"/>
          <w:b/>
          <w:bCs/>
          <w:sz w:val="22"/>
          <w:szCs w:val="22"/>
          <w:highlight w:val="none"/>
          <w:lang w:eastAsia="en-US"/>
        </w:rPr>
        <w:t xml:space="preserve">SISTEMA: BBMNET LICITAÇÕES ELETRONICAS </w:t>
      </w:r>
    </w:p>
    <w:p w14:paraId="77A2FEF5">
      <w:pPr>
        <w:keepNext w:val="0"/>
        <w:keepLines w:val="0"/>
        <w:pageBreakBefore w:val="0"/>
        <w:widowControl/>
        <w:kinsoku/>
        <w:wordWrap/>
        <w:overflowPunct/>
        <w:topLinePunct w:val="0"/>
        <w:autoSpaceDE/>
        <w:autoSpaceDN/>
        <w:bidi w:val="0"/>
        <w:adjustRightInd/>
        <w:snapToGrid/>
        <w:spacing w:line="240" w:lineRule="auto"/>
        <w:textAlignment w:val="auto"/>
        <w:rPr>
          <w:rFonts w:asciiTheme="majorHAnsi" w:hAnsiTheme="majorHAnsi" w:cstheme="majorHAnsi"/>
          <w:b/>
          <w:bCs/>
          <w:sz w:val="22"/>
          <w:szCs w:val="22"/>
          <w:highlight w:val="none"/>
          <w:lang w:eastAsia="en-US"/>
        </w:rPr>
      </w:pPr>
    </w:p>
    <w:p w14:paraId="7A33D5FD">
      <w:pPr>
        <w:keepNext w:val="0"/>
        <w:keepLines w:val="0"/>
        <w:pageBreakBefore w:val="0"/>
        <w:widowControl/>
        <w:kinsoku/>
        <w:wordWrap/>
        <w:overflowPunct/>
        <w:topLinePunct w:val="0"/>
        <w:autoSpaceDE/>
        <w:autoSpaceDN/>
        <w:bidi w:val="0"/>
        <w:adjustRightInd/>
        <w:snapToGrid/>
        <w:spacing w:line="240" w:lineRule="auto"/>
        <w:textAlignment w:val="auto"/>
        <w:rPr>
          <w:rFonts w:asciiTheme="majorHAnsi" w:hAnsiTheme="majorHAnsi" w:cstheme="majorHAnsi"/>
          <w:b w:val="0"/>
          <w:bCs w:val="0"/>
          <w:sz w:val="22"/>
          <w:szCs w:val="22"/>
          <w:highlight w:val="none"/>
          <w:lang w:eastAsia="en-US"/>
        </w:rPr>
      </w:pPr>
      <w:r>
        <w:rPr>
          <w:rFonts w:asciiTheme="majorHAnsi" w:hAnsiTheme="majorHAnsi" w:cstheme="majorHAnsi"/>
          <w:b/>
          <w:bCs/>
          <w:sz w:val="22"/>
          <w:szCs w:val="22"/>
          <w:highlight w:val="none"/>
          <w:lang w:eastAsia="en-US"/>
        </w:rPr>
        <w:t xml:space="preserve">MODO DE DISPUTA: </w:t>
      </w:r>
      <w:r>
        <w:rPr>
          <w:rFonts w:asciiTheme="majorHAnsi" w:hAnsiTheme="majorHAnsi" w:cstheme="majorHAnsi"/>
          <w:b w:val="0"/>
          <w:bCs w:val="0"/>
          <w:sz w:val="22"/>
          <w:szCs w:val="22"/>
          <w:highlight w:val="none"/>
          <w:lang w:eastAsia="en-US"/>
        </w:rPr>
        <w:t>ABERTO</w:t>
      </w:r>
    </w:p>
    <w:p w14:paraId="418E8B29">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heme="majorHAnsi" w:hAnsiTheme="majorHAnsi" w:cstheme="majorHAnsi"/>
          <w:b/>
          <w:bCs/>
          <w:color w:val="FFFFFF" w:themeColor="background1"/>
          <w:sz w:val="22"/>
          <w:szCs w:val="22"/>
          <w:highlight w:val="none"/>
          <w:lang w:eastAsia="en-US"/>
          <w14:textFill>
            <w14:solidFill>
              <w14:schemeClr w14:val="bg1"/>
            </w14:solidFill>
          </w14:textFill>
        </w:rPr>
      </w:pPr>
      <w:r>
        <w:rPr>
          <w:color w:val="FFFFFF" w:themeColor="background1"/>
          <w:sz w:val="22"/>
          <w14:textFill>
            <w14:solidFill>
              <w14:schemeClr w14:val="bg1"/>
            </w14:solidFill>
          </w14:textFill>
        </w:rPr>
        <mc:AlternateContent>
          <mc:Choice Requires="wps">
            <w:drawing>
              <wp:anchor distT="0" distB="0" distL="114300" distR="114300" simplePos="0" relativeHeight="251659264" behindDoc="1" locked="0" layoutInCell="1" allowOverlap="1">
                <wp:simplePos x="0" y="0"/>
                <wp:positionH relativeFrom="column">
                  <wp:posOffset>-17780</wp:posOffset>
                </wp:positionH>
                <wp:positionV relativeFrom="paragraph">
                  <wp:posOffset>108585</wp:posOffset>
                </wp:positionV>
                <wp:extent cx="6019800" cy="467995"/>
                <wp:effectExtent l="4445" t="4445" r="14605" b="22860"/>
                <wp:wrapNone/>
                <wp:docPr id="9" name="Caixa de Texto 9"/>
                <wp:cNvGraphicFramePr/>
                <a:graphic xmlns:a="http://schemas.openxmlformats.org/drawingml/2006/main">
                  <a:graphicData uri="http://schemas.microsoft.com/office/word/2010/wordprocessingShape">
                    <wps:wsp>
                      <wps:cNvSpPr txBox="1"/>
                      <wps:spPr>
                        <a:xfrm>
                          <a:off x="1028065" y="5381625"/>
                          <a:ext cx="6019800" cy="467995"/>
                        </a:xfrm>
                        <a:prstGeom prst="rect">
                          <a:avLst/>
                        </a:prstGeom>
                        <a:solidFill>
                          <a:srgbClr val="911527"/>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59F5749">
                            <w:pPr>
                              <w:rPr>
                                <w:rFonts w:hint="default"/>
                                <w:color w:val="E46C0A" w:themeColor="accent6" w:themeShade="BF"/>
                                <w:lang w:val="pt-BR"/>
                              </w:rPr>
                            </w:pPr>
                            <w:r>
                              <w:rPr>
                                <w:rFonts w:hint="default"/>
                                <w:color w:val="E46C0A" w:themeColor="accent6" w:themeShade="BF"/>
                                <w:lang w:val="pt-BR"/>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pt;margin-top:8.55pt;height:36.85pt;width:474pt;z-index:-251657216;mso-width-relative:page;mso-height-relative:page;" fillcolor="#911527" filled="t" stroked="t" coordsize="21600,21600" o:gfxdata="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f7a/y&#10;1wAAAAgBAAAPAAAAAAAAAAEAIAAAACIAAABkcnMvZG93bnJldi54bWxQSwECFAAUAAAACACHTuJA&#10;iVYxMVsCAADJBAAADgAAAAAAAAABACAAAAAmAQAAZHJzL2Uyb0RvYy54bWxQSwUGAAAAAAYABgBZ&#10;AQAA8wUAAAAA&#10;">
                <v:fill on="t" focussize="0,0"/>
                <v:stroke weight="0.5pt" color="#000000 [3213]" joinstyle="round"/>
                <v:imagedata o:title=""/>
                <o:lock v:ext="edit" aspectratio="f"/>
                <v:textbox>
                  <w:txbxContent>
                    <w:p w14:paraId="259F5749">
                      <w:pPr>
                        <w:rPr>
                          <w:rFonts w:hint="default"/>
                          <w:color w:val="E46C0A" w:themeColor="accent6" w:themeShade="BF"/>
                          <w:lang w:val="pt-BR"/>
                        </w:rPr>
                      </w:pPr>
                      <w:r>
                        <w:rPr>
                          <w:rFonts w:hint="default"/>
                          <w:color w:val="E46C0A" w:themeColor="accent6" w:themeShade="BF"/>
                          <w:lang w:val="pt-BR"/>
                        </w:rPr>
                        <w:t xml:space="preserve"> </w:t>
                      </w:r>
                    </w:p>
                  </w:txbxContent>
                </v:textbox>
              </v:shape>
            </w:pict>
          </mc:Fallback>
        </mc:AlternateContent>
      </w:r>
    </w:p>
    <w:p w14:paraId="11EF907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Calibri" w:hAnsi="Calibri" w:cs="Calibri"/>
          <w:color w:val="FFFFFF" w:themeColor="background1"/>
          <w:sz w:val="21"/>
          <w:szCs w:val="21"/>
          <w14:textFill>
            <w14:solidFill>
              <w14:schemeClr w14:val="bg1"/>
            </w14:solidFill>
          </w14:textFill>
        </w:rPr>
      </w:pPr>
      <w:r>
        <w:rPr>
          <w:rFonts w:hint="default" w:ascii="Calibri" w:hAnsi="Calibri" w:cs="Calibri"/>
          <w:b/>
          <w:bCs/>
          <w:color w:val="FFFFFF" w:themeColor="background1"/>
          <w:sz w:val="21"/>
          <w:szCs w:val="21"/>
          <w:highlight w:val="none"/>
          <w:lang w:eastAsia="en-US"/>
          <w14:textFill>
            <w14:solidFill>
              <w14:schemeClr w14:val="bg1"/>
            </w14:solidFill>
          </w14:textFill>
        </w:rPr>
        <w:t xml:space="preserve">OBJETO: </w:t>
      </w:r>
      <w:r>
        <w:rPr>
          <w:rFonts w:hint="default" w:ascii="Calibri" w:hAnsi="Calibri" w:cs="Calibri"/>
          <w:b/>
          <w:color w:val="FFFFFF" w:themeColor="background1"/>
          <w:sz w:val="21"/>
          <w:szCs w:val="21"/>
          <w:lang w:val="pt-BR"/>
          <w14:textFill>
            <w14:solidFill>
              <w14:schemeClr w14:val="bg1"/>
            </w14:solidFill>
          </w14:textFill>
        </w:rPr>
        <w:t xml:space="preserve">REGISTRO DE PREÇOS PARA </w:t>
      </w:r>
      <w:r>
        <w:rPr>
          <w:rFonts w:hint="default" w:ascii="Calibri" w:hAnsi="Calibri" w:cs="Calibri"/>
          <w:b/>
          <w:bCs/>
          <w:color w:val="FFFFFF" w:themeColor="background1"/>
          <w:sz w:val="21"/>
          <w:szCs w:val="21"/>
          <w14:textFill>
            <w14:solidFill>
              <w14:schemeClr w14:val="bg1"/>
            </w14:solidFill>
          </w14:textFill>
        </w:rPr>
        <w:t>AQUISIÇÃO DE GENEROS ALIMENTÍCIOS DIVERSOS PARA AS SECRETARIAS MUNICIPAIS E SUAS UNIDADES OPERACIONAIS</w:t>
      </w:r>
    </w:p>
    <w:p w14:paraId="5070A059">
      <w:pPr>
        <w:keepNext w:val="0"/>
        <w:keepLines w:val="0"/>
        <w:pageBreakBefore w:val="0"/>
        <w:widowControl/>
        <w:kinsoku/>
        <w:wordWrap/>
        <w:overflowPunct/>
        <w:topLinePunct w:val="0"/>
        <w:autoSpaceDE/>
        <w:autoSpaceDN/>
        <w:bidi w:val="0"/>
        <w:adjustRightInd/>
        <w:snapToGrid/>
        <w:spacing w:line="240" w:lineRule="auto"/>
        <w:textAlignment w:val="auto"/>
        <w:rPr>
          <w:rFonts w:asciiTheme="majorHAnsi" w:hAnsiTheme="majorHAnsi" w:cstheme="majorHAnsi"/>
          <w:b/>
          <w:bCs/>
          <w:sz w:val="10"/>
          <w:szCs w:val="10"/>
          <w:highlight w:val="none"/>
          <w:lang w:eastAsia="en-US"/>
        </w:rPr>
      </w:pPr>
    </w:p>
    <w:p w14:paraId="760050A9">
      <w:pPr>
        <w:keepNext w:val="0"/>
        <w:keepLines w:val="0"/>
        <w:pageBreakBefore w:val="0"/>
        <w:widowControl/>
        <w:kinsoku/>
        <w:wordWrap/>
        <w:overflowPunct/>
        <w:topLinePunct w:val="0"/>
        <w:autoSpaceDE/>
        <w:autoSpaceDN/>
        <w:bidi w:val="0"/>
        <w:adjustRightInd/>
        <w:snapToGrid/>
        <w:spacing w:line="240" w:lineRule="auto"/>
        <w:textAlignment w:val="auto"/>
        <w:rPr>
          <w:rFonts w:asciiTheme="majorHAnsi" w:hAnsiTheme="majorHAnsi" w:cstheme="majorHAnsi"/>
          <w:b/>
          <w:bCs/>
          <w:sz w:val="22"/>
          <w:szCs w:val="22"/>
          <w:highlight w:val="none"/>
          <w:lang w:eastAsia="en-US"/>
        </w:rPr>
      </w:pPr>
    </w:p>
    <w:p w14:paraId="36752E2D">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heme="majorHAnsi" w:hAnsiTheme="majorHAnsi" w:cstheme="majorHAnsi"/>
          <w:b/>
          <w:bCs/>
          <w:color w:val="auto"/>
          <w:sz w:val="22"/>
          <w:szCs w:val="22"/>
          <w:highlight w:val="none"/>
          <w:lang w:val="pt-BR" w:eastAsia="en-US"/>
        </w:rPr>
      </w:pPr>
      <w:r>
        <w:rPr>
          <w:rFonts w:asciiTheme="majorHAnsi" w:hAnsiTheme="majorHAnsi" w:cstheme="majorHAnsi"/>
          <w:b/>
          <w:bCs/>
          <w:sz w:val="22"/>
          <w:szCs w:val="22"/>
          <w:highlight w:val="none"/>
          <w:lang w:eastAsia="en-US"/>
        </w:rPr>
        <w:t xml:space="preserve">EXCLUSIVO PARA ME/EPP: </w:t>
      </w:r>
      <w:r>
        <w:rPr>
          <w:rFonts w:asciiTheme="majorHAnsi" w:hAnsiTheme="majorHAnsi" w:cstheme="majorHAnsi"/>
          <w:b/>
          <w:bCs/>
          <w:color w:val="auto"/>
          <w:sz w:val="22"/>
          <w:szCs w:val="22"/>
          <w:highlight w:val="none"/>
          <w:lang w:eastAsia="en-US"/>
        </w:rPr>
        <w:t xml:space="preserve"> </w:t>
      </w:r>
      <w:r>
        <w:rPr>
          <w:rFonts w:hint="default" w:asciiTheme="majorHAnsi" w:hAnsiTheme="majorHAnsi" w:cstheme="majorHAnsi"/>
          <w:b/>
          <w:bCs/>
          <w:color w:val="auto"/>
          <w:sz w:val="22"/>
          <w:szCs w:val="22"/>
          <w:highlight w:val="none"/>
          <w:lang w:val="pt-BR" w:eastAsia="en-US"/>
        </w:rPr>
        <w:t xml:space="preserve">LOTES:  31 ao 39 </w:t>
      </w:r>
    </w:p>
    <w:p w14:paraId="5CCDAD2E">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heme="majorHAnsi" w:hAnsiTheme="majorHAnsi" w:cstheme="majorHAnsi"/>
          <w:b/>
          <w:bCs/>
          <w:color w:val="auto"/>
          <w:sz w:val="22"/>
          <w:szCs w:val="22"/>
          <w:highlight w:val="none"/>
          <w:lang w:val="pt-BR" w:eastAsia="en-US"/>
        </w:rPr>
      </w:pPr>
    </w:p>
    <w:p w14:paraId="3A9354E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heme="majorHAnsi" w:hAnsiTheme="majorHAnsi" w:cstheme="majorHAnsi"/>
          <w:b/>
          <w:bCs/>
          <w:color w:val="auto"/>
          <w:sz w:val="22"/>
          <w:szCs w:val="22"/>
          <w:highlight w:val="none"/>
          <w:lang w:val="pt-BR" w:eastAsia="en-US"/>
        </w:rPr>
      </w:pPr>
      <w:r>
        <w:rPr>
          <w:rFonts w:ascii="Calibri" w:hAnsi="Calibri" w:eastAsia="SimSun" w:cs="Arial"/>
          <w:color w:val="auto"/>
          <w:sz w:val="22"/>
          <w:szCs w:val="22"/>
          <w:highlight w:val="none"/>
          <w:u w:val="single"/>
          <w:shd w:val="clear" w:color="auto" w:fill="F2B1BC"/>
        </w:rPr>
        <w:t>Em não havendo o interesse de participação, de, no mínimo, 03 (três), ME’s</w:t>
      </w:r>
      <w:r>
        <w:rPr>
          <w:rFonts w:ascii="Calibri" w:hAnsi="Calibri" w:eastAsia="SimSun" w:cs="Arial"/>
          <w:color w:val="auto"/>
          <w:sz w:val="22"/>
          <w:szCs w:val="22"/>
          <w:highlight w:val="none"/>
          <w:u w:val="single"/>
          <w:shd w:val="clear" w:color="auto" w:fill="F2B1BC"/>
          <w:lang w:val="pt-BR"/>
        </w:rPr>
        <w:t xml:space="preserve"> </w:t>
      </w:r>
      <w:r>
        <w:rPr>
          <w:rFonts w:ascii="Calibri" w:hAnsi="Calibri" w:eastAsia="SimSun" w:cs="Arial"/>
          <w:color w:val="auto"/>
          <w:sz w:val="22"/>
          <w:szCs w:val="22"/>
          <w:highlight w:val="none"/>
          <w:u w:val="single"/>
          <w:shd w:val="clear" w:color="auto" w:fill="F2B1BC"/>
        </w:rPr>
        <w:t>ou</w:t>
      </w:r>
      <w:r>
        <w:rPr>
          <w:rFonts w:ascii="Calibri" w:hAnsi="Calibri" w:eastAsia="SimSun" w:cs="Arial"/>
          <w:color w:val="auto"/>
          <w:sz w:val="22"/>
          <w:szCs w:val="22"/>
          <w:highlight w:val="none"/>
          <w:u w:val="single"/>
          <w:shd w:val="clear" w:color="auto" w:fill="F2B1BC"/>
          <w:lang w:val="pt-BR"/>
        </w:rPr>
        <w:t xml:space="preserve"> </w:t>
      </w:r>
      <w:r>
        <w:rPr>
          <w:rFonts w:ascii="Calibri" w:hAnsi="Calibri" w:eastAsia="SimSun" w:cs="Arial"/>
          <w:color w:val="auto"/>
          <w:sz w:val="22"/>
          <w:szCs w:val="22"/>
          <w:highlight w:val="none"/>
          <w:u w:val="single"/>
          <w:shd w:val="clear" w:color="auto" w:fill="F2B1BC"/>
        </w:rPr>
        <w:t>EPP’s, será admitida a participação de outras empresas, aplicando-se, outrossim, os critérios de desempate previstos para as ME´S e EPP´s, pelas LC´s 123/06 e 147/14</w:t>
      </w:r>
    </w:p>
    <w:p w14:paraId="4B01189E">
      <w:pPr>
        <w:keepNext w:val="0"/>
        <w:keepLines w:val="0"/>
        <w:pageBreakBefore w:val="0"/>
        <w:widowControl/>
        <w:kinsoku/>
        <w:wordWrap/>
        <w:overflowPunct/>
        <w:topLinePunct w:val="0"/>
        <w:autoSpaceDE/>
        <w:autoSpaceDN/>
        <w:bidi w:val="0"/>
        <w:adjustRightInd/>
        <w:snapToGrid/>
        <w:spacing w:line="240" w:lineRule="auto"/>
        <w:textAlignment w:val="auto"/>
        <w:rPr>
          <w:rFonts w:asciiTheme="majorHAnsi" w:hAnsiTheme="majorHAnsi" w:cstheme="majorHAnsi"/>
          <w:b/>
          <w:bCs/>
          <w:color w:val="auto"/>
          <w:sz w:val="22"/>
          <w:szCs w:val="22"/>
          <w:highlight w:val="none"/>
          <w:lang w:eastAsia="en-US"/>
        </w:rPr>
      </w:pPr>
    </w:p>
    <w:p w14:paraId="71E2C45B">
      <w:pPr>
        <w:keepNext w:val="0"/>
        <w:keepLines w:val="0"/>
        <w:pageBreakBefore w:val="0"/>
        <w:widowControl/>
        <w:kinsoku/>
        <w:wordWrap/>
        <w:overflowPunct/>
        <w:topLinePunct w:val="0"/>
        <w:autoSpaceDE/>
        <w:autoSpaceDN/>
        <w:bidi w:val="0"/>
        <w:adjustRightInd/>
        <w:snapToGrid/>
        <w:spacing w:line="240" w:lineRule="auto"/>
        <w:textAlignment w:val="auto"/>
        <w:rPr>
          <w:rFonts w:asciiTheme="majorHAnsi" w:hAnsiTheme="majorHAnsi" w:cstheme="majorHAnsi"/>
          <w:b/>
          <w:bCs/>
          <w:color w:val="auto"/>
          <w:sz w:val="22"/>
          <w:szCs w:val="22"/>
          <w:highlight w:val="none"/>
          <w:lang w:eastAsia="en-US"/>
        </w:rPr>
      </w:pPr>
    </w:p>
    <w:p w14:paraId="4D0075A0">
      <w:pPr>
        <w:keepNext w:val="0"/>
        <w:keepLines w:val="0"/>
        <w:pageBreakBefore w:val="0"/>
        <w:widowControl/>
        <w:kinsoku/>
        <w:wordWrap/>
        <w:overflowPunct/>
        <w:topLinePunct w:val="0"/>
        <w:autoSpaceDE/>
        <w:autoSpaceDN/>
        <w:bidi w:val="0"/>
        <w:adjustRightInd/>
        <w:snapToGrid/>
        <w:spacing w:line="240" w:lineRule="auto"/>
        <w:textAlignment w:val="auto"/>
        <w:rPr>
          <w:rFonts w:asciiTheme="majorHAnsi" w:hAnsiTheme="majorHAnsi" w:cstheme="majorHAnsi"/>
          <w:b/>
          <w:bCs/>
          <w:sz w:val="22"/>
          <w:szCs w:val="22"/>
          <w:highlight w:val="none"/>
          <w:lang w:eastAsia="en-US"/>
        </w:rPr>
      </w:pPr>
      <w:r>
        <w:rPr>
          <w:rFonts w:asciiTheme="majorHAnsi" w:hAnsiTheme="majorHAnsi" w:cstheme="majorHAnsi"/>
          <w:b/>
          <w:bCs/>
          <w:sz w:val="22"/>
          <w:szCs w:val="22"/>
          <w:highlight w:val="none"/>
          <w:lang w:eastAsia="en-US"/>
        </w:rPr>
        <w:t xml:space="preserve">VALIDADE DA PROPOSTA: </w:t>
      </w:r>
      <w:r>
        <w:rPr>
          <w:rFonts w:asciiTheme="majorHAnsi" w:hAnsiTheme="majorHAnsi" w:cstheme="majorHAnsi"/>
          <w:b w:val="0"/>
          <w:bCs w:val="0"/>
          <w:sz w:val="22"/>
          <w:szCs w:val="22"/>
          <w:highlight w:val="none"/>
          <w:lang w:eastAsia="en-US"/>
        </w:rPr>
        <w:t>(60 DIAS)</w:t>
      </w:r>
      <w:r>
        <w:rPr>
          <w:rFonts w:asciiTheme="majorHAnsi" w:hAnsiTheme="majorHAnsi" w:cstheme="majorHAnsi"/>
          <w:b/>
          <w:bCs/>
          <w:sz w:val="22"/>
          <w:szCs w:val="22"/>
          <w:highlight w:val="none"/>
          <w:lang w:eastAsia="en-US"/>
        </w:rPr>
        <w:t xml:space="preserve"> </w:t>
      </w:r>
    </w:p>
    <w:p w14:paraId="45C9C7FB">
      <w:pPr>
        <w:keepNext w:val="0"/>
        <w:keepLines w:val="0"/>
        <w:pageBreakBefore w:val="0"/>
        <w:widowControl/>
        <w:kinsoku/>
        <w:wordWrap/>
        <w:overflowPunct/>
        <w:topLinePunct w:val="0"/>
        <w:autoSpaceDE/>
        <w:autoSpaceDN/>
        <w:bidi w:val="0"/>
        <w:adjustRightInd/>
        <w:snapToGrid/>
        <w:spacing w:line="240" w:lineRule="auto"/>
        <w:textAlignment w:val="auto"/>
        <w:rPr>
          <w:rFonts w:asciiTheme="majorHAnsi" w:hAnsiTheme="majorHAnsi" w:cstheme="majorHAnsi"/>
          <w:b/>
          <w:bCs/>
          <w:sz w:val="22"/>
          <w:szCs w:val="22"/>
          <w:highlight w:val="none"/>
          <w:lang w:eastAsia="en-US"/>
        </w:rPr>
      </w:pPr>
    </w:p>
    <w:p w14:paraId="4BE86EC9">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Calibri" w:hAnsi="Calibri" w:cs="Calibri"/>
          <w:b w:val="0"/>
          <w:bCs w:val="0"/>
          <w:color w:val="0000FF"/>
          <w:sz w:val="22"/>
          <w:szCs w:val="22"/>
          <w:highlight w:val="none"/>
        </w:rPr>
      </w:pPr>
      <w:r>
        <w:rPr>
          <w:rFonts w:asciiTheme="majorHAnsi" w:hAnsiTheme="majorHAnsi" w:cstheme="majorHAnsi"/>
          <w:b/>
          <w:bCs/>
          <w:sz w:val="22"/>
          <w:szCs w:val="22"/>
          <w:highlight w:val="none"/>
          <w:lang w:eastAsia="en-US"/>
        </w:rPr>
        <w:t>VALOR DA CONTRATAÇÃO:</w:t>
      </w:r>
      <w:r>
        <w:rPr>
          <w:rFonts w:asciiTheme="majorHAnsi" w:hAnsiTheme="majorHAnsi" w:cstheme="majorHAnsi"/>
          <w:b/>
          <w:bCs/>
          <w:color w:val="auto"/>
          <w:sz w:val="22"/>
          <w:szCs w:val="22"/>
          <w:highlight w:val="none"/>
          <w:lang w:eastAsia="en-US"/>
        </w:rPr>
        <w:t xml:space="preserve"> </w:t>
      </w:r>
      <w:r>
        <w:rPr>
          <w:rFonts w:hint="default" w:ascii="Calibri" w:hAnsi="Calibri" w:cs="Calibri"/>
          <w:b w:val="0"/>
          <w:bCs w:val="0"/>
          <w:color w:val="auto"/>
          <w:sz w:val="22"/>
          <w:szCs w:val="22"/>
          <w:highlight w:val="none"/>
          <w:lang w:eastAsia="en-US"/>
        </w:rPr>
        <w:t xml:space="preserve">R$ </w:t>
      </w:r>
      <w:r>
        <w:rPr>
          <w:rFonts w:hint="default" w:ascii="Calibri" w:hAnsi="Calibri" w:cs="Calibri"/>
          <w:b w:val="0"/>
          <w:bCs w:val="0"/>
          <w:color w:val="auto"/>
          <w:sz w:val="22"/>
          <w:szCs w:val="22"/>
          <w:highlight w:val="none"/>
          <w:lang w:val="pt-BR" w:eastAsia="en-US"/>
        </w:rPr>
        <w:t>538.865,87</w:t>
      </w:r>
      <w:r>
        <w:rPr>
          <w:rFonts w:hint="default" w:ascii="Calibri" w:hAnsi="Calibri" w:cs="Calibri"/>
          <w:b w:val="0"/>
          <w:bCs w:val="0"/>
          <w:color w:val="auto"/>
          <w:sz w:val="22"/>
          <w:szCs w:val="22"/>
          <w:highlight w:val="none"/>
          <w:lang w:eastAsia="en-US"/>
        </w:rPr>
        <w:t xml:space="preserve"> (</w:t>
      </w:r>
      <w:r>
        <w:rPr>
          <w:rFonts w:hint="default" w:ascii="Calibri" w:hAnsi="Calibri" w:cs="Calibri"/>
          <w:b w:val="0"/>
          <w:bCs w:val="0"/>
          <w:color w:val="auto"/>
          <w:sz w:val="22"/>
          <w:szCs w:val="22"/>
          <w:highlight w:val="none"/>
          <w:lang w:val="pt-BR" w:eastAsia="en-US"/>
        </w:rPr>
        <w:t>ESTIMADO</w:t>
      </w:r>
      <w:r>
        <w:rPr>
          <w:rFonts w:hint="default" w:ascii="Calibri" w:hAnsi="Calibri" w:cs="Calibri"/>
          <w:b w:val="0"/>
          <w:bCs w:val="0"/>
          <w:color w:val="auto"/>
          <w:sz w:val="22"/>
          <w:szCs w:val="22"/>
          <w:highlight w:val="none"/>
          <w:lang w:eastAsia="en-US"/>
        </w:rPr>
        <w:t>)</w:t>
      </w:r>
    </w:p>
    <w:p w14:paraId="2E5D75AF">
      <w:pPr>
        <w:snapToGrid w:val="0"/>
        <w:spacing w:before="120" w:line="276" w:lineRule="auto"/>
        <w:ind w:firstLine="567"/>
        <w:jc w:val="both"/>
        <w:rPr>
          <w:rFonts w:hint="default" w:asciiTheme="majorHAnsi" w:hAnsiTheme="majorHAnsi" w:cstheme="majorHAnsi"/>
          <w:color w:val="000000"/>
          <w:sz w:val="22"/>
          <w:szCs w:val="22"/>
          <w:highlight w:val="none"/>
          <w:lang w:val="pt-BR"/>
        </w:rPr>
      </w:pPr>
    </w:p>
    <w:p w14:paraId="6C67BDDD">
      <w:pPr>
        <w:snapToGrid w:val="0"/>
        <w:spacing w:before="120" w:line="276" w:lineRule="auto"/>
        <w:ind w:firstLine="567"/>
        <w:jc w:val="both"/>
        <w:rPr>
          <w:rFonts w:eastAsia="Times New Roman" w:asciiTheme="majorHAnsi" w:hAnsiTheme="majorHAnsi" w:cstheme="majorHAnsi"/>
          <w:sz w:val="22"/>
          <w:szCs w:val="22"/>
        </w:rPr>
      </w:pPr>
      <w:r>
        <w:rPr>
          <w:rFonts w:hint="default" w:asciiTheme="majorHAnsi" w:hAnsiTheme="majorHAnsi" w:cstheme="majorHAnsi"/>
          <w:color w:val="000000"/>
          <w:sz w:val="22"/>
          <w:szCs w:val="22"/>
          <w:highlight w:val="none"/>
          <w:lang w:val="pt-BR"/>
        </w:rPr>
        <w:t>A Prefeitura do Município de Leme, através da sua</w:t>
      </w:r>
      <w:r>
        <w:rPr>
          <w:rFonts w:hint="default" w:asciiTheme="majorHAnsi" w:hAnsiTheme="majorHAnsi" w:cstheme="majorHAnsi"/>
          <w:color w:val="000000"/>
          <w:sz w:val="22"/>
          <w:szCs w:val="22"/>
          <w:highlight w:val="none"/>
          <w:shd w:val="clear"/>
          <w:lang w:val="pt-BR"/>
        </w:rPr>
        <w:t xml:space="preserve"> </w:t>
      </w:r>
      <w:r>
        <w:rPr>
          <w:rFonts w:hint="default" w:asciiTheme="majorHAnsi" w:hAnsiTheme="majorHAnsi" w:cstheme="majorHAnsi"/>
          <w:b/>
          <w:bCs/>
          <w:color w:val="000000"/>
          <w:sz w:val="22"/>
          <w:szCs w:val="22"/>
          <w:highlight w:val="none"/>
          <w:shd w:val="clear" w:fill="E45C73"/>
          <w:lang w:val="pt-BR"/>
        </w:rPr>
        <w:t>SECRETARIA DE ASSISTÊNCIA E DESENVOLVIMENTO SOCIAL</w:t>
      </w:r>
      <w:r>
        <w:rPr>
          <w:rFonts w:hint="default" w:asciiTheme="majorHAnsi" w:hAnsiTheme="majorHAnsi" w:cstheme="majorHAnsi"/>
          <w:color w:val="000000"/>
          <w:sz w:val="22"/>
          <w:szCs w:val="22"/>
          <w:highlight w:val="none"/>
          <w:lang w:val="pt-BR"/>
        </w:rPr>
        <w:t>, t</w:t>
      </w:r>
      <w:r>
        <w:rPr>
          <w:rFonts w:asciiTheme="majorHAnsi" w:hAnsiTheme="majorHAnsi" w:cstheme="majorHAnsi"/>
          <w:color w:val="000000"/>
          <w:sz w:val="22"/>
          <w:szCs w:val="22"/>
          <w:highlight w:val="none"/>
        </w:rPr>
        <w:t>orna público que realizará licitação, na modalidade PREGÃ</w:t>
      </w:r>
      <w:r>
        <w:rPr>
          <w:rFonts w:asciiTheme="majorHAnsi" w:hAnsiTheme="majorHAnsi" w:cstheme="majorHAnsi"/>
          <w:color w:val="000000"/>
          <w:sz w:val="22"/>
          <w:szCs w:val="22"/>
        </w:rPr>
        <w:t>O, na forma ELETRÔNICA,</w:t>
      </w:r>
      <w:r>
        <w:rPr>
          <w:rFonts w:eastAsia="Times New Roman" w:asciiTheme="majorHAnsi" w:hAnsiTheme="majorHAnsi" w:cstheme="majorHAnsi"/>
          <w:color w:val="000000"/>
          <w:sz w:val="22"/>
          <w:szCs w:val="22"/>
        </w:rPr>
        <w:t xml:space="preserve"> </w:t>
      </w:r>
      <w:r>
        <w:rPr>
          <w:rFonts w:asciiTheme="majorHAnsi" w:hAnsiTheme="majorHAnsi" w:cstheme="majorHAnsi"/>
          <w:color w:val="000000"/>
          <w:sz w:val="22"/>
          <w:szCs w:val="22"/>
        </w:rPr>
        <w:t xml:space="preserve">nos termos da </w:t>
      </w:r>
      <w:r>
        <w:rPr>
          <w:rFonts w:asciiTheme="majorHAnsi" w:hAnsiTheme="majorHAnsi" w:cstheme="majorHAnsi"/>
          <w:sz w:val="22"/>
          <w:szCs w:val="22"/>
        </w:rPr>
        <w:t>Lei nº 14.133, de 2021, e demais legislaç</w:t>
      </w:r>
      <w:r>
        <w:rPr>
          <w:rFonts w:hint="default" w:asciiTheme="majorHAnsi" w:hAnsiTheme="majorHAnsi" w:cstheme="majorHAnsi"/>
          <w:sz w:val="22"/>
          <w:szCs w:val="22"/>
          <w:lang w:val="pt-BR"/>
        </w:rPr>
        <w:t>ões</w:t>
      </w:r>
      <w:r>
        <w:rPr>
          <w:rFonts w:asciiTheme="majorHAnsi" w:hAnsiTheme="majorHAnsi" w:cstheme="majorHAnsi"/>
          <w:sz w:val="22"/>
          <w:szCs w:val="22"/>
        </w:rPr>
        <w:t xml:space="preserve"> aplicáve</w:t>
      </w:r>
      <w:r>
        <w:rPr>
          <w:rFonts w:hint="default" w:asciiTheme="majorHAnsi" w:hAnsiTheme="majorHAnsi" w:cstheme="majorHAnsi"/>
          <w:sz w:val="22"/>
          <w:szCs w:val="22"/>
          <w:lang w:val="pt-BR"/>
        </w:rPr>
        <w:t xml:space="preserve">is, inclusive decretos municipais regulamentadores, </w:t>
      </w:r>
      <w:r>
        <w:rPr>
          <w:rFonts w:asciiTheme="majorHAnsi" w:hAnsiTheme="majorHAnsi" w:cstheme="majorHAnsi"/>
          <w:sz w:val="22"/>
          <w:szCs w:val="22"/>
        </w:rPr>
        <w:t xml:space="preserve"> </w:t>
      </w:r>
      <w:r>
        <w:rPr>
          <w:rFonts w:hint="default" w:asciiTheme="majorHAnsi" w:hAnsiTheme="majorHAnsi" w:cstheme="majorHAnsi"/>
          <w:i/>
          <w:iCs/>
          <w:sz w:val="22"/>
          <w:szCs w:val="22"/>
          <w:lang w:val="pt-BR"/>
        </w:rPr>
        <w:t xml:space="preserve">(publicados na Imprensa Oficial de Leme, edições nºs 3271,  3406 e 3450, respectivamente, de 14/03/2023,  27/10/23, e 06/01/24, disponíveis no site oficial da Prefeitura - </w:t>
      </w:r>
      <w:r>
        <w:rPr>
          <w:rFonts w:hint="default" w:asciiTheme="majorHAnsi" w:hAnsiTheme="majorHAnsi" w:cstheme="majorHAnsi"/>
          <w:i/>
          <w:iCs/>
          <w:sz w:val="22"/>
          <w:szCs w:val="22"/>
          <w:lang w:val="pt-BR"/>
        </w:rPr>
        <w:fldChar w:fldCharType="begin"/>
      </w:r>
      <w:r>
        <w:rPr>
          <w:rFonts w:hint="default" w:asciiTheme="majorHAnsi" w:hAnsiTheme="majorHAnsi" w:cstheme="majorHAnsi"/>
          <w:i/>
          <w:iCs/>
          <w:sz w:val="22"/>
          <w:szCs w:val="22"/>
          <w:lang w:val="pt-BR"/>
        </w:rPr>
        <w:instrText xml:space="preserve"> HYPERLINK "http://www.leme.sp.gov.br)" </w:instrText>
      </w:r>
      <w:r>
        <w:rPr>
          <w:rFonts w:hint="default" w:asciiTheme="majorHAnsi" w:hAnsiTheme="majorHAnsi" w:cstheme="majorHAnsi"/>
          <w:i/>
          <w:iCs/>
          <w:sz w:val="22"/>
          <w:szCs w:val="22"/>
          <w:lang w:val="pt-BR"/>
        </w:rPr>
        <w:fldChar w:fldCharType="separate"/>
      </w:r>
      <w:r>
        <w:rPr>
          <w:rStyle w:val="13"/>
          <w:rFonts w:hint="default" w:asciiTheme="majorHAnsi" w:hAnsiTheme="majorHAnsi" w:cstheme="majorHAnsi"/>
          <w:i/>
          <w:iCs/>
          <w:sz w:val="22"/>
          <w:szCs w:val="22"/>
          <w:lang w:val="pt-BR"/>
        </w:rPr>
        <w:t>www.leme.sp.gov.br)</w:t>
      </w:r>
      <w:r>
        <w:rPr>
          <w:rFonts w:hint="default" w:asciiTheme="majorHAnsi" w:hAnsiTheme="majorHAnsi" w:cstheme="majorHAnsi"/>
          <w:i/>
          <w:iCs/>
          <w:sz w:val="22"/>
          <w:szCs w:val="22"/>
          <w:lang w:val="pt-BR"/>
        </w:rPr>
        <w:fldChar w:fldCharType="end"/>
      </w:r>
      <w:r>
        <w:rPr>
          <w:rFonts w:hint="default" w:asciiTheme="majorHAnsi" w:hAnsiTheme="majorHAnsi" w:cstheme="majorHAnsi"/>
          <w:sz w:val="22"/>
          <w:szCs w:val="22"/>
          <w:lang w:val="pt-BR"/>
        </w:rPr>
        <w:t xml:space="preserve"> </w:t>
      </w:r>
      <w:r>
        <w:rPr>
          <w:rFonts w:asciiTheme="majorHAnsi" w:hAnsiTheme="majorHAnsi" w:cstheme="majorHAnsi"/>
          <w:sz w:val="22"/>
          <w:szCs w:val="22"/>
        </w:rPr>
        <w:t>e, ainda, de acordo com as condições estabelecidas neste Edital</w:t>
      </w:r>
      <w:r>
        <w:rPr>
          <w:rFonts w:eastAsia="Times New Roman" w:asciiTheme="majorHAnsi" w:hAnsiTheme="majorHAnsi" w:cstheme="majorHAnsi"/>
          <w:sz w:val="22"/>
          <w:szCs w:val="22"/>
        </w:rPr>
        <w:t>.</w:t>
      </w:r>
    </w:p>
    <w:p w14:paraId="250C56D9">
      <w:pPr>
        <w:pStyle w:val="41"/>
        <w:tabs>
          <w:tab w:val="left" w:pos="240"/>
          <w:tab w:val="left" w:pos="480"/>
          <w:tab w:val="left" w:pos="960"/>
        </w:tabs>
        <w:spacing w:before="120" w:line="276" w:lineRule="auto"/>
        <w:ind w:left="0" w:leftChars="0" w:firstLine="0" w:firstLineChars="0"/>
        <w:rPr>
          <w:rFonts w:hint="default" w:ascii="Calibri" w:hAnsi="Calibri" w:cs="Calibri"/>
          <w:sz w:val="22"/>
          <w:szCs w:val="22"/>
          <w:lang w:eastAsia="en-US"/>
        </w:rPr>
      </w:pPr>
      <w:bookmarkStart w:id="0" w:name="_Toc122606103"/>
      <w:r>
        <w:rPr>
          <w:rFonts w:hint="default" w:ascii="Calibri" w:hAnsi="Calibri" w:cs="Calibri"/>
          <w:sz w:val="22"/>
          <w:szCs w:val="22"/>
          <w:lang w:eastAsia="en-US"/>
        </w:rPr>
        <w:t>DO OBJETO</w:t>
      </w:r>
      <w:bookmarkEnd w:id="0"/>
    </w:p>
    <w:p w14:paraId="7E6F593F">
      <w:pPr>
        <w:rPr>
          <w:rFonts w:hint="default" w:ascii="Calibri" w:hAnsi="Calibri" w:cs="Calibri"/>
          <w:sz w:val="22"/>
          <w:szCs w:val="22"/>
          <w:lang w:eastAsia="en-US"/>
        </w:rPr>
      </w:pPr>
    </w:p>
    <w:p w14:paraId="5053F9EB">
      <w:pPr>
        <w:spacing w:before="120" w:line="276" w:lineRule="auto"/>
        <w:jc w:val="both"/>
        <w:rPr>
          <w:rFonts w:hint="default" w:ascii="Calibri" w:hAnsi="Calibri"/>
          <w:b/>
          <w:bCs/>
          <w:color w:val="auto"/>
          <w:sz w:val="21"/>
          <w:szCs w:val="21"/>
        </w:rPr>
      </w:pPr>
      <w:r>
        <w:rPr>
          <w:rFonts w:hint="default" w:ascii="Calibri" w:hAnsi="Calibri" w:cs="Calibri"/>
          <w:sz w:val="22"/>
          <w:szCs w:val="22"/>
        </w:rPr>
        <w:t xml:space="preserve">O objeto da presente licitação </w:t>
      </w:r>
      <w:r>
        <w:rPr>
          <w:rFonts w:hint="default" w:ascii="Calibri" w:hAnsi="Calibri" w:cs="Calibri"/>
          <w:sz w:val="22"/>
          <w:szCs w:val="22"/>
          <w:lang w:val="pt-BR"/>
        </w:rPr>
        <w:t xml:space="preserve">é </w:t>
      </w:r>
      <w:r>
        <w:rPr>
          <w:rFonts w:ascii="Arial" w:hAnsi="Arial" w:cs="Arial"/>
          <w:b/>
          <w:sz w:val="20"/>
          <w:szCs w:val="20"/>
        </w:rPr>
        <w:t xml:space="preserve"> </w:t>
      </w:r>
      <w:r>
        <w:rPr>
          <w:rFonts w:hint="default" w:ascii="Calibri" w:hAnsi="Calibri"/>
          <w:b/>
          <w:bCs/>
          <w:color w:val="auto"/>
          <w:sz w:val="21"/>
          <w:szCs w:val="21"/>
        </w:rPr>
        <w:t>REGISTRO DE PREÇOS PARA AQUISIÇÃO DE GENEROS ALIMENTÍCIOS DIVERSOS PARA AS SECRETARIAS MUNICIPAIS E SUAS UNIDADES OPERACIONAIS</w:t>
      </w:r>
    </w:p>
    <w:p w14:paraId="23DBE211">
      <w:pPr>
        <w:spacing w:before="120" w:line="276" w:lineRule="auto"/>
        <w:jc w:val="both"/>
        <w:rPr>
          <w:rFonts w:hint="default" w:ascii="Calibri" w:hAnsi="Calibri"/>
          <w:b/>
          <w:bCs/>
          <w:color w:val="auto"/>
          <w:sz w:val="21"/>
          <w:szCs w:val="21"/>
          <w:lang w:val="pt-BR"/>
        </w:rPr>
      </w:pPr>
    </w:p>
    <w:p w14:paraId="5B83F3EA">
      <w:pPr>
        <w:pStyle w:val="41"/>
        <w:tabs>
          <w:tab w:val="left" w:pos="240"/>
          <w:tab w:val="left" w:pos="960"/>
        </w:tabs>
        <w:spacing w:before="120" w:line="276" w:lineRule="auto"/>
        <w:ind w:left="0" w:leftChars="0" w:firstLine="0" w:firstLineChars="0"/>
        <w:rPr>
          <w:rFonts w:hint="default" w:ascii="Calibri" w:hAnsi="Calibri" w:cs="Calibri"/>
          <w:sz w:val="22"/>
          <w:szCs w:val="22"/>
        </w:rPr>
      </w:pPr>
      <w:bookmarkStart w:id="1" w:name="_Toc122606104"/>
      <w:r>
        <w:rPr>
          <w:rFonts w:hint="default" w:ascii="Calibri" w:hAnsi="Calibri" w:cs="Calibri"/>
          <w:sz w:val="22"/>
          <w:szCs w:val="22"/>
        </w:rPr>
        <w:t>DA PARTICIPAÇÃO NA LICITAÇÃO</w:t>
      </w:r>
      <w:bookmarkEnd w:id="1"/>
    </w:p>
    <w:p w14:paraId="7594713D">
      <w:pPr>
        <w:rPr>
          <w:rFonts w:hint="default" w:ascii="Calibri" w:hAnsi="Calibri" w:cs="Calibri"/>
          <w:sz w:val="22"/>
          <w:szCs w:val="22"/>
        </w:rPr>
      </w:pPr>
    </w:p>
    <w:p w14:paraId="50F9A213">
      <w:pPr>
        <w:pStyle w:val="58"/>
        <w:tabs>
          <w:tab w:val="left" w:pos="480"/>
        </w:tabs>
        <w:spacing w:after="0"/>
        <w:ind w:left="0" w:leftChars="0" w:firstLine="0" w:firstLineChars="0"/>
        <w:rPr>
          <w:rFonts w:hint="default" w:ascii="Calibri" w:hAnsi="Calibri" w:cs="Calibri"/>
          <w:color w:val="auto"/>
          <w:sz w:val="22"/>
          <w:szCs w:val="22"/>
        </w:rPr>
      </w:pPr>
      <w:r>
        <w:rPr>
          <w:rFonts w:hint="default" w:ascii="Calibri" w:hAnsi="Calibri" w:cs="Calibri"/>
          <w:color w:val="auto"/>
          <w:sz w:val="22"/>
          <w:szCs w:val="22"/>
        </w:rPr>
        <w:t xml:space="preserve">Poderão participar deste Pregão os interessados que estiverem previamente credenciados no Plataforma BBMNET Licitações Eletrônicas da Bolsa Brasileira de Mercadorias, no endereço </w:t>
      </w:r>
      <w:r>
        <w:rPr>
          <w:rFonts w:hint="default" w:ascii="Calibri" w:hAnsi="Calibri" w:cs="Calibri"/>
          <w:sz w:val="22"/>
          <w:szCs w:val="22"/>
        </w:rPr>
        <w:fldChar w:fldCharType="begin"/>
      </w:r>
      <w:r>
        <w:rPr>
          <w:rFonts w:hint="default" w:ascii="Calibri" w:hAnsi="Calibri" w:cs="Calibri"/>
          <w:sz w:val="22"/>
          <w:szCs w:val="22"/>
        </w:rPr>
        <w:instrText xml:space="preserve"> HYPERLINK "http://www.novobbmnet.com.br" </w:instrText>
      </w:r>
      <w:r>
        <w:rPr>
          <w:rFonts w:hint="default" w:ascii="Calibri" w:hAnsi="Calibri" w:cs="Calibri"/>
          <w:sz w:val="22"/>
          <w:szCs w:val="22"/>
        </w:rPr>
        <w:fldChar w:fldCharType="separate"/>
      </w:r>
      <w:r>
        <w:rPr>
          <w:rStyle w:val="13"/>
          <w:rFonts w:hint="default" w:ascii="Calibri" w:hAnsi="Calibri" w:cs="Calibri"/>
          <w:sz w:val="22"/>
          <w:szCs w:val="22"/>
        </w:rPr>
        <w:t>www.novobbmnet.com.br</w:t>
      </w:r>
      <w:r>
        <w:rPr>
          <w:rStyle w:val="13"/>
          <w:rFonts w:hint="default" w:ascii="Calibri" w:hAnsi="Calibri" w:cs="Calibri"/>
          <w:sz w:val="22"/>
          <w:szCs w:val="22"/>
        </w:rPr>
        <w:fldChar w:fldCharType="end"/>
      </w:r>
      <w:r>
        <w:rPr>
          <w:rFonts w:hint="default" w:ascii="Calibri" w:hAnsi="Calibri" w:cs="Calibri"/>
          <w:color w:val="auto"/>
          <w:sz w:val="22"/>
          <w:szCs w:val="22"/>
        </w:rPr>
        <w:t xml:space="preserve">.  </w:t>
      </w:r>
      <w:r>
        <w:rPr>
          <w:rFonts w:hint="default" w:ascii="Calibri" w:hAnsi="Calibri" w:cs="Calibri"/>
          <w:bCs/>
          <w:color w:val="auto"/>
          <w:sz w:val="22"/>
          <w:szCs w:val="22"/>
          <w:shd w:val="clear" w:color="auto" w:fill="auto"/>
        </w:rPr>
        <w:t>“Acesso</w:t>
      </w:r>
      <w:r>
        <w:rPr>
          <w:rFonts w:hint="default" w:ascii="Calibri" w:hAnsi="Calibri" w:cs="Calibri"/>
          <w:bCs/>
          <w:color w:val="auto"/>
          <w:sz w:val="22"/>
          <w:szCs w:val="22"/>
        </w:rPr>
        <w:t xml:space="preserve"> Identificado no link – licitações públicas”. Para todas as referências de tempo, será observado o horá</w:t>
      </w:r>
      <w:r>
        <w:rPr>
          <w:rFonts w:hint="default" w:ascii="Calibri" w:hAnsi="Calibri" w:cs="Calibri"/>
          <w:bCs/>
          <w:color w:val="000000"/>
          <w:sz w:val="22"/>
          <w:szCs w:val="22"/>
        </w:rPr>
        <w:t>rio de Brasília (DF)</w:t>
      </w:r>
    </w:p>
    <w:p w14:paraId="3FD9FB63">
      <w:pPr>
        <w:pStyle w:val="130"/>
        <w:spacing w:line="300" w:lineRule="atLeast"/>
        <w:ind w:left="30" w:right="-48" w:hanging="4"/>
        <w:rPr>
          <w:rFonts w:hint="default" w:ascii="Calibri" w:hAnsi="Calibri" w:cs="Calibri"/>
          <w:sz w:val="22"/>
          <w:szCs w:val="22"/>
        </w:rPr>
      </w:pPr>
      <w:r>
        <w:rPr>
          <w:rFonts w:hint="default" w:ascii="Calibri" w:hAnsi="Calibri" w:cs="Calibri"/>
          <w:sz w:val="22"/>
          <w:szCs w:val="22"/>
        </w:rPr>
        <w:t xml:space="preserve">Contatos: </w:t>
      </w:r>
    </w:p>
    <w:p w14:paraId="059CEACB">
      <w:pPr>
        <w:pStyle w:val="130"/>
        <w:spacing w:line="300" w:lineRule="atLeast"/>
        <w:ind w:left="30" w:right="-48" w:hanging="4"/>
        <w:rPr>
          <w:rFonts w:hint="default" w:ascii="Calibri" w:hAnsi="Calibri" w:cs="Calibri"/>
          <w:sz w:val="22"/>
          <w:szCs w:val="22"/>
        </w:rPr>
      </w:pPr>
    </w:p>
    <w:p w14:paraId="0E10E7ED">
      <w:pPr>
        <w:pStyle w:val="130"/>
        <w:numPr>
          <w:ilvl w:val="0"/>
          <w:numId w:val="3"/>
        </w:numPr>
        <w:spacing w:line="300" w:lineRule="atLeast"/>
        <w:ind w:left="30" w:right="-48" w:hanging="4"/>
        <w:rPr>
          <w:rFonts w:hint="default" w:ascii="Calibri" w:hAnsi="Calibri" w:cs="Calibri"/>
          <w:sz w:val="22"/>
          <w:szCs w:val="22"/>
          <w:lang w:val="pt-BR"/>
        </w:rPr>
      </w:pPr>
      <w:r>
        <w:rPr>
          <w:rFonts w:hint="default" w:ascii="Calibri" w:hAnsi="Calibri" w:cs="Calibri"/>
          <w:sz w:val="22"/>
          <w:szCs w:val="22"/>
          <w:lang w:val="pt-BR"/>
        </w:rPr>
        <w:t xml:space="preserve">Departamento de </w:t>
      </w:r>
      <w:r>
        <w:rPr>
          <w:rFonts w:hint="default" w:ascii="Calibri" w:hAnsi="Calibri" w:cs="Calibri"/>
          <w:sz w:val="22"/>
          <w:szCs w:val="22"/>
        </w:rPr>
        <w:t>Licitaç</w:t>
      </w:r>
      <w:r>
        <w:rPr>
          <w:rFonts w:hint="default" w:ascii="Calibri" w:hAnsi="Calibri" w:cs="Calibri"/>
          <w:sz w:val="22"/>
          <w:szCs w:val="22"/>
          <w:lang w:val="pt-BR"/>
        </w:rPr>
        <w:t>ões e Compras</w:t>
      </w:r>
      <w:r>
        <w:rPr>
          <w:rFonts w:hint="default" w:ascii="Calibri" w:hAnsi="Calibri" w:cs="Calibri"/>
          <w:sz w:val="22"/>
          <w:szCs w:val="22"/>
        </w:rPr>
        <w:t xml:space="preserve">:Telefone e e-mail: </w:t>
      </w:r>
      <w:r>
        <w:rPr>
          <w:rFonts w:hint="default" w:ascii="Calibri" w:hAnsi="Calibri" w:cs="Calibri"/>
          <w:sz w:val="22"/>
          <w:szCs w:val="22"/>
        </w:rPr>
        <w:sym w:font="Wingdings" w:char="0028"/>
      </w:r>
      <w:r>
        <w:rPr>
          <w:rFonts w:hint="default" w:ascii="Calibri" w:hAnsi="Calibri" w:cs="Calibri"/>
          <w:sz w:val="22"/>
          <w:szCs w:val="22"/>
        </w:rPr>
        <w:t xml:space="preserve">(19) </w:t>
      </w:r>
      <w:r>
        <w:rPr>
          <w:rFonts w:hint="default" w:ascii="Calibri" w:hAnsi="Calibri" w:cs="Calibri"/>
          <w:sz w:val="22"/>
          <w:szCs w:val="22"/>
          <w:lang w:val="pt-BR"/>
        </w:rPr>
        <w:t xml:space="preserve">3097-1.000 </w:t>
      </w:r>
      <w:r>
        <w:rPr>
          <w:rFonts w:hint="default" w:ascii="Calibri" w:hAnsi="Calibri" w:cs="Calibri"/>
          <w:sz w:val="22"/>
          <w:szCs w:val="22"/>
        </w:rPr>
        <w:t>–</w:t>
      </w:r>
      <w:r>
        <w:rPr>
          <w:rFonts w:hint="default" w:ascii="Calibri" w:hAnsi="Calibri" w:cs="Calibri"/>
          <w:sz w:val="22"/>
          <w:szCs w:val="22"/>
          <w:lang w:val="pt-BR"/>
        </w:rPr>
        <w:t xml:space="preserve"> </w:t>
      </w:r>
      <w:r>
        <w:rPr>
          <w:rFonts w:hint="default" w:ascii="Calibri" w:hAnsi="Calibri" w:cs="Calibri"/>
          <w:sz w:val="22"/>
          <w:szCs w:val="22"/>
        </w:rPr>
        <w:fldChar w:fldCharType="begin"/>
      </w:r>
      <w:r>
        <w:rPr>
          <w:rFonts w:hint="default" w:ascii="Calibri" w:hAnsi="Calibri" w:cs="Calibri"/>
          <w:sz w:val="22"/>
          <w:szCs w:val="22"/>
        </w:rPr>
        <w:instrText xml:space="preserve"> HYPERLINK "mailto:licitacao@leme.sp.gov.br" </w:instrText>
      </w:r>
      <w:r>
        <w:rPr>
          <w:rFonts w:hint="default" w:ascii="Calibri" w:hAnsi="Calibri" w:cs="Calibri"/>
          <w:sz w:val="22"/>
          <w:szCs w:val="22"/>
        </w:rPr>
        <w:fldChar w:fldCharType="separate"/>
      </w:r>
      <w:r>
        <w:rPr>
          <w:rStyle w:val="13"/>
          <w:rFonts w:hint="default" w:ascii="Calibri" w:hAnsi="Calibri" w:cs="Calibri"/>
          <w:sz w:val="22"/>
          <w:szCs w:val="22"/>
        </w:rPr>
        <w:t>licitacao@leme.sp.gov.br</w:t>
      </w:r>
      <w:r>
        <w:rPr>
          <w:rFonts w:hint="default" w:ascii="Calibri" w:hAnsi="Calibri" w:cs="Calibri"/>
          <w:sz w:val="22"/>
          <w:szCs w:val="22"/>
        </w:rPr>
        <w:fldChar w:fldCharType="end"/>
      </w:r>
      <w:r>
        <w:rPr>
          <w:rFonts w:hint="default" w:ascii="Calibri" w:hAnsi="Calibri" w:cs="Calibri"/>
          <w:sz w:val="22"/>
          <w:szCs w:val="22"/>
          <w:lang w:val="pt-BR"/>
        </w:rPr>
        <w:t xml:space="preserve"> </w:t>
      </w:r>
    </w:p>
    <w:p w14:paraId="19927265">
      <w:pPr>
        <w:pStyle w:val="130"/>
        <w:numPr>
          <w:ilvl w:val="0"/>
          <w:numId w:val="0"/>
        </w:numPr>
        <w:spacing w:line="300" w:lineRule="atLeast"/>
        <w:ind w:left="26" w:leftChars="0" w:right="-48" w:rightChars="0"/>
        <w:rPr>
          <w:rFonts w:hint="default" w:ascii="Calibri" w:hAnsi="Calibri" w:cs="Calibri"/>
          <w:sz w:val="22"/>
          <w:szCs w:val="22"/>
          <w:lang w:val="pt-BR"/>
        </w:rPr>
      </w:pPr>
    </w:p>
    <w:p w14:paraId="246AFF8D">
      <w:pPr>
        <w:pStyle w:val="130"/>
        <w:spacing w:line="300" w:lineRule="atLeast"/>
        <w:ind w:left="30" w:right="-48" w:hanging="4"/>
        <w:rPr>
          <w:rFonts w:hint="default" w:ascii="Calibri" w:hAnsi="Calibri" w:cs="Calibri"/>
          <w:sz w:val="22"/>
          <w:szCs w:val="22"/>
        </w:rPr>
      </w:pPr>
      <w:r>
        <w:rPr>
          <w:rFonts w:hint="default" w:ascii="Calibri" w:hAnsi="Calibri" w:cs="Calibri"/>
          <w:sz w:val="22"/>
          <w:szCs w:val="22"/>
        </w:rPr>
        <w:t xml:space="preserve">2) Bolsa Brasileira de Mercadorias:   </w:t>
      </w:r>
    </w:p>
    <w:p w14:paraId="6C05F65C">
      <w:pPr>
        <w:pStyle w:val="131"/>
        <w:keepNext w:val="0"/>
        <w:keepLines w:val="0"/>
        <w:pageBreakBefore w:val="0"/>
        <w:widowControl/>
        <w:tabs>
          <w:tab w:val="left" w:pos="567"/>
        </w:tabs>
        <w:kinsoku/>
        <w:wordWrap/>
        <w:overflowPunct/>
        <w:topLinePunct w:val="0"/>
        <w:autoSpaceDE/>
        <w:autoSpaceDN/>
        <w:bidi w:val="0"/>
        <w:adjustRightInd/>
        <w:snapToGrid/>
        <w:spacing w:line="300" w:lineRule="atLeast"/>
        <w:ind w:left="709" w:leftChars="0"/>
        <w:jc w:val="both"/>
        <w:textAlignment w:val="auto"/>
        <w:rPr>
          <w:rFonts w:hint="default" w:ascii="Calibri" w:hAnsi="Calibri" w:cs="Calibri"/>
          <w:bCs/>
          <w:i/>
          <w:iCs/>
          <w:sz w:val="21"/>
          <w:szCs w:val="21"/>
          <w:lang w:val="pt-BR"/>
        </w:rPr>
      </w:pPr>
      <w:r>
        <w:rPr>
          <w:rFonts w:hint="default" w:ascii="Calibri" w:hAnsi="Calibri" w:cs="Calibri"/>
          <w:bCs/>
          <w:i/>
          <w:iCs/>
          <w:sz w:val="21"/>
          <w:szCs w:val="21"/>
          <w:lang w:val="pt-BR"/>
        </w:rPr>
        <w:t xml:space="preserve">Os procedimentos para credenciamento e obtenção da chave e senha de acesso poderão ser iniciados diretamente no site de licitações no endereço eletrônico </w:t>
      </w:r>
      <w:r>
        <w:rPr>
          <w:rFonts w:hint="default" w:ascii="Calibri" w:hAnsi="Calibri" w:cs="Calibri"/>
          <w:i/>
          <w:iCs/>
          <w:sz w:val="21"/>
          <w:szCs w:val="21"/>
        </w:rPr>
        <w:fldChar w:fldCharType="begin"/>
      </w:r>
      <w:r>
        <w:rPr>
          <w:rFonts w:hint="default" w:ascii="Calibri" w:hAnsi="Calibri" w:cs="Calibri"/>
          <w:i/>
          <w:iCs/>
          <w:sz w:val="21"/>
          <w:szCs w:val="21"/>
        </w:rPr>
        <w:instrText xml:space="preserve"> HYPERLINK "http://www.novobbmnet.com.br" </w:instrText>
      </w:r>
      <w:r>
        <w:rPr>
          <w:rFonts w:hint="default" w:ascii="Calibri" w:hAnsi="Calibri" w:cs="Calibri"/>
          <w:i/>
          <w:iCs/>
          <w:sz w:val="21"/>
          <w:szCs w:val="21"/>
        </w:rPr>
        <w:fldChar w:fldCharType="separate"/>
      </w:r>
      <w:r>
        <w:rPr>
          <w:rStyle w:val="13"/>
          <w:rFonts w:hint="default" w:ascii="Calibri" w:hAnsi="Calibri" w:cs="Calibri"/>
          <w:i/>
          <w:iCs/>
          <w:sz w:val="21"/>
          <w:szCs w:val="21"/>
        </w:rPr>
        <w:t>www.novobbmnet.com.br</w:t>
      </w:r>
      <w:r>
        <w:rPr>
          <w:rStyle w:val="13"/>
          <w:rFonts w:hint="default" w:ascii="Calibri" w:hAnsi="Calibri" w:cs="Calibri"/>
          <w:i/>
          <w:iCs/>
          <w:sz w:val="21"/>
          <w:szCs w:val="21"/>
        </w:rPr>
        <w:fldChar w:fldCharType="end"/>
      </w:r>
      <w:r>
        <w:rPr>
          <w:rFonts w:hint="default" w:ascii="Calibri" w:hAnsi="Calibri" w:cs="Calibri"/>
          <w:bCs/>
          <w:i/>
          <w:iCs/>
          <w:sz w:val="21"/>
          <w:szCs w:val="21"/>
          <w:lang w:val="pt-BR"/>
        </w:rPr>
        <w:t xml:space="preserve">, acesso “ credenciamento - licitantes (fornecedores) </w:t>
      </w:r>
    </w:p>
    <w:p w14:paraId="441F3D3E">
      <w:pPr>
        <w:pStyle w:val="58"/>
        <w:keepNext w:val="0"/>
        <w:keepLines w:val="0"/>
        <w:pageBreakBefore w:val="0"/>
        <w:widowControl/>
        <w:numPr>
          <w:ilvl w:val="0"/>
          <w:numId w:val="0"/>
        </w:numPr>
        <w:kinsoku/>
        <w:wordWrap/>
        <w:overflowPunct/>
        <w:topLinePunct w:val="0"/>
        <w:autoSpaceDE/>
        <w:autoSpaceDN/>
        <w:bidi w:val="0"/>
        <w:adjustRightInd/>
        <w:snapToGrid/>
        <w:spacing w:before="0" w:after="0"/>
        <w:ind w:left="709" w:leftChars="0" w:hanging="5" w:firstLineChars="0"/>
        <w:textAlignment w:val="auto"/>
        <w:rPr>
          <w:rFonts w:hint="default" w:ascii="Calibri" w:hAnsi="Calibri" w:cs="Calibri"/>
          <w:i/>
          <w:iCs/>
          <w:sz w:val="21"/>
          <w:szCs w:val="21"/>
        </w:rPr>
      </w:pPr>
    </w:p>
    <w:p w14:paraId="7B302420">
      <w:pPr>
        <w:pStyle w:val="58"/>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ind w:left="709" w:leftChars="0" w:hanging="5" w:firstLineChars="0"/>
        <w:textAlignment w:val="auto"/>
        <w:rPr>
          <w:rFonts w:hint="default" w:ascii="Calibri" w:hAnsi="Calibri" w:eastAsia="Times New Roman" w:cs="Calibri"/>
          <w:i/>
          <w:iCs/>
          <w:sz w:val="21"/>
          <w:szCs w:val="21"/>
        </w:rPr>
      </w:pPr>
      <w:r>
        <w:rPr>
          <w:rFonts w:hint="default" w:ascii="Calibri" w:hAnsi="Calibri" w:cs="Calibri"/>
          <w:i/>
          <w:iCs/>
          <w:sz w:val="21"/>
          <w:szCs w:val="21"/>
        </w:rPr>
        <w:t xml:space="preserve">O Manual de operações da Plataforma BBMNET Licitações encontra-se disponível aos interessados no Portal </w:t>
      </w:r>
      <w:r>
        <w:rPr>
          <w:rFonts w:hint="default" w:ascii="Calibri" w:hAnsi="Calibri" w:cs="Calibri"/>
          <w:i/>
          <w:iCs/>
          <w:sz w:val="21"/>
          <w:szCs w:val="21"/>
        </w:rPr>
        <w:fldChar w:fldCharType="begin"/>
      </w:r>
      <w:r>
        <w:rPr>
          <w:rFonts w:hint="default" w:ascii="Calibri" w:hAnsi="Calibri" w:cs="Calibri"/>
          <w:i/>
          <w:iCs/>
          <w:sz w:val="21"/>
          <w:szCs w:val="21"/>
        </w:rPr>
        <w:instrText xml:space="preserve"> HYPERLINK "http://www.novobbmnet.com.br" </w:instrText>
      </w:r>
      <w:r>
        <w:rPr>
          <w:rFonts w:hint="default" w:ascii="Calibri" w:hAnsi="Calibri" w:cs="Calibri"/>
          <w:i/>
          <w:iCs/>
          <w:sz w:val="21"/>
          <w:szCs w:val="21"/>
        </w:rPr>
        <w:fldChar w:fldCharType="separate"/>
      </w:r>
      <w:r>
        <w:rPr>
          <w:rStyle w:val="13"/>
          <w:rFonts w:hint="default" w:ascii="Calibri" w:hAnsi="Calibri" w:cs="Calibri"/>
          <w:i/>
          <w:iCs/>
          <w:sz w:val="21"/>
          <w:szCs w:val="21"/>
        </w:rPr>
        <w:t>www.novobbmnet.com.br</w:t>
      </w:r>
      <w:r>
        <w:rPr>
          <w:rStyle w:val="13"/>
          <w:rFonts w:hint="default" w:ascii="Calibri" w:hAnsi="Calibri" w:cs="Calibri"/>
          <w:i/>
          <w:iCs/>
          <w:sz w:val="21"/>
          <w:szCs w:val="21"/>
        </w:rPr>
        <w:fldChar w:fldCharType="end"/>
      </w:r>
      <w:r>
        <w:rPr>
          <w:rFonts w:hint="default" w:ascii="Calibri" w:hAnsi="Calibri" w:cs="Calibri"/>
          <w:i/>
          <w:iCs/>
          <w:sz w:val="21"/>
          <w:szCs w:val="21"/>
        </w:rPr>
        <w:t xml:space="preserve"> . </w:t>
      </w:r>
    </w:p>
    <w:p w14:paraId="711132FE">
      <w:pPr>
        <w:pStyle w:val="131"/>
        <w:keepNext w:val="0"/>
        <w:keepLines w:val="0"/>
        <w:pageBreakBefore w:val="0"/>
        <w:widowControl/>
        <w:tabs>
          <w:tab w:val="left" w:pos="567"/>
        </w:tabs>
        <w:kinsoku/>
        <w:wordWrap/>
        <w:overflowPunct/>
        <w:topLinePunct w:val="0"/>
        <w:autoSpaceDE/>
        <w:autoSpaceDN/>
        <w:bidi w:val="0"/>
        <w:adjustRightInd/>
        <w:snapToGrid/>
        <w:spacing w:line="240" w:lineRule="auto"/>
        <w:ind w:left="708" w:leftChars="0"/>
        <w:jc w:val="both"/>
        <w:textAlignment w:val="auto"/>
        <w:rPr>
          <w:rFonts w:hint="default" w:ascii="Calibri" w:hAnsi="Calibri" w:cs="Calibri"/>
          <w:bCs/>
          <w:i/>
          <w:iCs/>
          <w:sz w:val="21"/>
          <w:szCs w:val="21"/>
          <w:lang w:val="pt-BR"/>
        </w:rPr>
      </w:pPr>
    </w:p>
    <w:p w14:paraId="7565C760">
      <w:pPr>
        <w:pStyle w:val="131"/>
        <w:keepNext w:val="0"/>
        <w:keepLines w:val="0"/>
        <w:pageBreakBefore w:val="0"/>
        <w:widowControl/>
        <w:tabs>
          <w:tab w:val="left" w:pos="567"/>
        </w:tabs>
        <w:kinsoku/>
        <w:wordWrap/>
        <w:overflowPunct/>
        <w:topLinePunct w:val="0"/>
        <w:autoSpaceDE/>
        <w:autoSpaceDN/>
        <w:bidi w:val="0"/>
        <w:adjustRightInd/>
        <w:snapToGrid/>
        <w:spacing w:line="240" w:lineRule="auto"/>
        <w:ind w:left="708" w:leftChars="0"/>
        <w:jc w:val="both"/>
        <w:textAlignment w:val="auto"/>
        <w:rPr>
          <w:rFonts w:hint="default" w:ascii="Calibri" w:hAnsi="Calibri" w:cs="Calibri"/>
          <w:bCs/>
          <w:i/>
          <w:iCs/>
          <w:sz w:val="21"/>
          <w:szCs w:val="21"/>
          <w:lang w:val="pt-BR"/>
        </w:rPr>
      </w:pPr>
      <w:r>
        <w:rPr>
          <w:rFonts w:hint="default" w:ascii="Calibri" w:hAnsi="Calibri" w:cs="Calibri"/>
          <w:i/>
          <w:iCs/>
          <w:sz w:val="21"/>
          <w:szCs w:val="21"/>
        </w:rPr>
        <w:drawing>
          <wp:anchor distT="0" distB="0" distL="114300" distR="114300" simplePos="0" relativeHeight="251660288" behindDoc="1" locked="0" layoutInCell="1" allowOverlap="1">
            <wp:simplePos x="0" y="0"/>
            <wp:positionH relativeFrom="column">
              <wp:posOffset>2967990</wp:posOffset>
            </wp:positionH>
            <wp:positionV relativeFrom="paragraph">
              <wp:posOffset>284480</wp:posOffset>
            </wp:positionV>
            <wp:extent cx="238125" cy="238125"/>
            <wp:effectExtent l="0" t="0" r="9525" b="9525"/>
            <wp:wrapNone/>
            <wp:docPr id="13" name="Imagem 13" descr="130b336fc6998d1c609c650405c4d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130b336fc6998d1c609c650405c4d793"/>
                    <pic:cNvPicPr>
                      <a:picLocks noChangeAspect="1"/>
                    </pic:cNvPicPr>
                  </pic:nvPicPr>
                  <pic:blipFill>
                    <a:blip r:embed="rId10"/>
                    <a:stretch>
                      <a:fillRect/>
                    </a:stretch>
                  </pic:blipFill>
                  <pic:spPr>
                    <a:xfrm flipH="1">
                      <a:off x="0" y="0"/>
                      <a:ext cx="238125" cy="238125"/>
                    </a:xfrm>
                    <a:prstGeom prst="rect">
                      <a:avLst/>
                    </a:prstGeom>
                  </pic:spPr>
                </pic:pic>
              </a:graphicData>
            </a:graphic>
          </wp:anchor>
        </w:drawing>
      </w:r>
      <w:r>
        <w:rPr>
          <w:rFonts w:hint="default" w:ascii="Calibri" w:hAnsi="Calibri" w:cs="Calibri"/>
          <w:bCs/>
          <w:i/>
          <w:iCs/>
          <w:sz w:val="21"/>
          <w:szCs w:val="21"/>
          <w:lang w:val="pt-BR"/>
        </w:rPr>
        <w:t xml:space="preserve">As dúvidas e esclarecimentos sobre credenciamento no sistema eletrônico poderão ser dirimidas através da central de atendimento aos licitantes, por telefone, </w:t>
      </w:r>
      <w:r>
        <w:rPr>
          <w:rFonts w:hint="default" w:ascii="Calibri" w:hAnsi="Calibri" w:cs="Calibri"/>
          <w:i/>
          <w:iCs/>
          <w:sz w:val="21"/>
          <w:szCs w:val="21"/>
        </w:rPr>
        <w:t>(11) 3113.1900 - Central de atendimento em São Paulo, ou por Whatsapp</w:t>
      </w:r>
      <w:r>
        <w:rPr>
          <w:rFonts w:hint="default" w:ascii="Calibri" w:hAnsi="Calibri" w:cs="Calibri"/>
          <w:i/>
          <w:iCs/>
          <w:sz w:val="21"/>
          <w:szCs w:val="21"/>
          <w:lang w:val="pt-BR"/>
        </w:rPr>
        <w:t xml:space="preserve"> </w:t>
      </w:r>
      <w:r>
        <w:rPr>
          <w:rFonts w:hint="default" w:ascii="Calibri" w:hAnsi="Calibri" w:cs="Calibri"/>
          <w:i/>
          <w:iCs/>
          <w:sz w:val="21"/>
          <w:szCs w:val="21"/>
        </w:rPr>
        <w:t xml:space="preserve"> </w:t>
      </w:r>
      <w:r>
        <w:rPr>
          <w:rFonts w:hint="default" w:ascii="Calibri" w:hAnsi="Calibri" w:cs="Calibri"/>
          <w:i/>
          <w:iCs/>
          <w:sz w:val="21"/>
          <w:szCs w:val="21"/>
          <w:lang w:val="pt-BR"/>
        </w:rPr>
        <w:t xml:space="preserve">        </w:t>
      </w:r>
      <w:r>
        <w:rPr>
          <w:rFonts w:hint="default" w:ascii="Calibri" w:hAnsi="Calibri" w:cs="Calibri"/>
          <w:i/>
          <w:iCs/>
          <w:sz w:val="21"/>
          <w:szCs w:val="21"/>
        </w:rPr>
        <w:t>(11) 9.9837-6032</w:t>
      </w:r>
      <w:r>
        <w:rPr>
          <w:rFonts w:hint="default" w:ascii="Calibri" w:hAnsi="Calibri" w:cs="Calibri"/>
          <w:bCs/>
          <w:i/>
          <w:iCs/>
          <w:sz w:val="21"/>
          <w:szCs w:val="21"/>
          <w:lang w:val="pt-BR"/>
        </w:rPr>
        <w:t xml:space="preserve">, Chat ou e-mail, disponíveis no endereço eletrônico: </w:t>
      </w:r>
      <w:r>
        <w:rPr>
          <w:rFonts w:hint="default" w:ascii="Calibri" w:hAnsi="Calibri" w:cs="Calibri"/>
          <w:i/>
          <w:iCs/>
          <w:sz w:val="21"/>
          <w:szCs w:val="21"/>
        </w:rPr>
        <w:fldChar w:fldCharType="begin"/>
      </w:r>
      <w:r>
        <w:rPr>
          <w:rFonts w:hint="default" w:ascii="Calibri" w:hAnsi="Calibri" w:cs="Calibri"/>
          <w:i/>
          <w:iCs/>
          <w:sz w:val="21"/>
          <w:szCs w:val="21"/>
        </w:rPr>
        <w:instrText xml:space="preserve"> HYPERLINK "http://www.novobbmnet.com.br" </w:instrText>
      </w:r>
      <w:r>
        <w:rPr>
          <w:rFonts w:hint="default" w:ascii="Calibri" w:hAnsi="Calibri" w:cs="Calibri"/>
          <w:i/>
          <w:iCs/>
          <w:sz w:val="21"/>
          <w:szCs w:val="21"/>
        </w:rPr>
        <w:fldChar w:fldCharType="separate"/>
      </w:r>
      <w:r>
        <w:rPr>
          <w:rStyle w:val="13"/>
          <w:rFonts w:hint="default" w:ascii="Calibri" w:hAnsi="Calibri" w:cs="Calibri"/>
          <w:i/>
          <w:iCs/>
          <w:sz w:val="21"/>
          <w:szCs w:val="21"/>
        </w:rPr>
        <w:t>www.novobbmnet.com.br</w:t>
      </w:r>
      <w:r>
        <w:rPr>
          <w:rStyle w:val="13"/>
          <w:rFonts w:hint="default" w:ascii="Calibri" w:hAnsi="Calibri" w:cs="Calibri"/>
          <w:i/>
          <w:iCs/>
          <w:sz w:val="21"/>
          <w:szCs w:val="21"/>
        </w:rPr>
        <w:fldChar w:fldCharType="end"/>
      </w:r>
      <w:r>
        <w:rPr>
          <w:rFonts w:hint="default" w:ascii="Calibri" w:hAnsi="Calibri" w:cs="Calibri"/>
          <w:bCs/>
          <w:i/>
          <w:iCs/>
          <w:sz w:val="21"/>
          <w:szCs w:val="21"/>
          <w:lang w:val="pt-BR"/>
        </w:rPr>
        <w:t xml:space="preserve"> </w:t>
      </w:r>
    </w:p>
    <w:p w14:paraId="4E9F75F6">
      <w:pPr>
        <w:pStyle w:val="131"/>
        <w:widowControl/>
        <w:tabs>
          <w:tab w:val="left" w:pos="567"/>
        </w:tabs>
        <w:spacing w:line="300" w:lineRule="atLeast"/>
        <w:ind w:left="708" w:leftChars="0"/>
        <w:jc w:val="both"/>
        <w:rPr>
          <w:rFonts w:hint="default" w:ascii="Calibri" w:hAnsi="Calibri" w:cs="Calibri"/>
          <w:bCs/>
          <w:i/>
          <w:iCs/>
          <w:sz w:val="21"/>
          <w:szCs w:val="21"/>
          <w:lang w:val="pt-BR"/>
        </w:rPr>
      </w:pPr>
    </w:p>
    <w:p w14:paraId="4DF945D4">
      <w:pPr>
        <w:ind w:left="708" w:leftChars="0"/>
        <w:jc w:val="both"/>
        <w:rPr>
          <w:rFonts w:hint="default" w:ascii="Calibri" w:hAnsi="Calibri" w:cs="Calibri"/>
          <w:i/>
          <w:iCs/>
          <w:sz w:val="21"/>
          <w:szCs w:val="21"/>
          <w:lang w:val="pt-BR"/>
        </w:rPr>
      </w:pPr>
      <w:r>
        <w:rPr>
          <w:rFonts w:hint="default" w:ascii="Calibri" w:hAnsi="Calibri" w:cs="Calibri"/>
          <w:i/>
          <w:iCs/>
          <w:sz w:val="21"/>
          <w:szCs w:val="21"/>
        </w:rPr>
        <w:t xml:space="preserve">Qualquer dúvida dos interessados em relação ao acesso </w:t>
      </w:r>
      <w:r>
        <w:rPr>
          <w:rFonts w:hint="default" w:ascii="Calibri" w:hAnsi="Calibri" w:cs="Calibri"/>
          <w:i/>
          <w:iCs/>
          <w:color w:val="auto"/>
          <w:sz w:val="21"/>
          <w:szCs w:val="21"/>
          <w:lang w:val="pt-BR"/>
        </w:rPr>
        <w:t xml:space="preserve">na </w:t>
      </w:r>
      <w:r>
        <w:rPr>
          <w:rFonts w:hint="default" w:ascii="Calibri" w:hAnsi="Calibri" w:cs="Calibri"/>
          <w:i/>
          <w:iCs/>
          <w:color w:val="auto"/>
          <w:sz w:val="21"/>
          <w:szCs w:val="21"/>
          <w:highlight w:val="none"/>
        </w:rPr>
        <w:t>Plataforma BBMNET Licitações Eletrônicas da Bolsa Brasileira de Mercadorias</w:t>
      </w:r>
      <w:r>
        <w:rPr>
          <w:rFonts w:hint="default" w:ascii="Calibri" w:hAnsi="Calibri" w:cs="Calibri"/>
          <w:i/>
          <w:iCs/>
          <w:color w:val="auto"/>
          <w:sz w:val="21"/>
          <w:szCs w:val="21"/>
        </w:rPr>
        <w:t xml:space="preserve"> poderá ser esclarecida através dos canais de atendimento da Bolsa Brasileira de Mercadorias </w:t>
      </w:r>
      <w:r>
        <w:rPr>
          <w:rFonts w:hint="default" w:ascii="Calibri" w:hAnsi="Calibri" w:cs="Calibri"/>
          <w:i/>
          <w:iCs/>
          <w:color w:val="auto"/>
          <w:sz w:val="21"/>
          <w:szCs w:val="21"/>
          <w:lang w:val="pt-BR"/>
        </w:rPr>
        <w:t>de segunda a sexta feira, das 08 às</w:t>
      </w:r>
      <w:r>
        <w:rPr>
          <w:rFonts w:hint="default" w:ascii="Calibri" w:hAnsi="Calibri" w:cs="Calibri"/>
          <w:i/>
          <w:iCs/>
          <w:sz w:val="21"/>
          <w:szCs w:val="21"/>
          <w:lang w:val="pt-BR"/>
        </w:rPr>
        <w:t xml:space="preserve"> 18 horas (horário de Brasília) através dos canais informados no site </w:t>
      </w:r>
      <w:r>
        <w:rPr>
          <w:rFonts w:hint="default" w:ascii="Calibri" w:hAnsi="Calibri" w:cs="Calibri"/>
          <w:i/>
          <w:iCs/>
          <w:sz w:val="21"/>
          <w:szCs w:val="21"/>
        </w:rPr>
        <w:fldChar w:fldCharType="begin"/>
      </w:r>
      <w:r>
        <w:rPr>
          <w:rFonts w:hint="default" w:ascii="Calibri" w:hAnsi="Calibri" w:cs="Calibri"/>
          <w:i/>
          <w:iCs/>
          <w:sz w:val="21"/>
          <w:szCs w:val="21"/>
        </w:rPr>
        <w:instrText xml:space="preserve"> HYPERLINK "http://www.novobbmnet.com.br" </w:instrText>
      </w:r>
      <w:r>
        <w:rPr>
          <w:rFonts w:hint="default" w:ascii="Calibri" w:hAnsi="Calibri" w:cs="Calibri"/>
          <w:i/>
          <w:iCs/>
          <w:sz w:val="21"/>
          <w:szCs w:val="21"/>
        </w:rPr>
        <w:fldChar w:fldCharType="separate"/>
      </w:r>
      <w:r>
        <w:rPr>
          <w:rStyle w:val="13"/>
          <w:rFonts w:hint="default" w:ascii="Calibri" w:hAnsi="Calibri" w:cs="Calibri"/>
          <w:i/>
          <w:iCs/>
          <w:sz w:val="21"/>
          <w:szCs w:val="21"/>
        </w:rPr>
        <w:t>www.novobbmnet.com.br</w:t>
      </w:r>
      <w:r>
        <w:rPr>
          <w:rStyle w:val="13"/>
          <w:rFonts w:hint="default" w:ascii="Calibri" w:hAnsi="Calibri" w:cs="Calibri"/>
          <w:i/>
          <w:iCs/>
          <w:sz w:val="21"/>
          <w:szCs w:val="21"/>
        </w:rPr>
        <w:fldChar w:fldCharType="end"/>
      </w:r>
      <w:r>
        <w:rPr>
          <w:rFonts w:hint="default" w:ascii="Calibri" w:hAnsi="Calibri" w:cs="Calibri"/>
          <w:i/>
          <w:iCs/>
          <w:sz w:val="21"/>
          <w:szCs w:val="21"/>
          <w:lang w:val="pt-BR"/>
        </w:rPr>
        <w:t xml:space="preserve"> </w:t>
      </w:r>
    </w:p>
    <w:p w14:paraId="49A5E46A">
      <w:pPr>
        <w:pStyle w:val="131"/>
        <w:widowControl/>
        <w:tabs>
          <w:tab w:val="left" w:pos="567"/>
        </w:tabs>
        <w:spacing w:line="300" w:lineRule="atLeast"/>
        <w:ind w:left="708" w:leftChars="0"/>
        <w:jc w:val="both"/>
        <w:rPr>
          <w:rFonts w:hint="default" w:ascii="Calibri" w:hAnsi="Calibri" w:cs="Calibri"/>
          <w:bCs/>
          <w:i/>
          <w:iCs/>
          <w:sz w:val="21"/>
          <w:szCs w:val="21"/>
          <w:lang w:val="pt-BR"/>
        </w:rPr>
      </w:pPr>
    </w:p>
    <w:p w14:paraId="4AFFEF50">
      <w:pPr>
        <w:pStyle w:val="130"/>
        <w:spacing w:line="300" w:lineRule="atLeast"/>
        <w:ind w:left="708" w:leftChars="0" w:right="-48" w:hanging="4"/>
        <w:rPr>
          <w:rFonts w:hint="default" w:ascii="Calibri" w:hAnsi="Calibri" w:cs="Calibri"/>
          <w:b/>
          <w:bCs/>
          <w:i/>
          <w:iCs/>
          <w:color w:val="000000"/>
          <w:sz w:val="21"/>
          <w:szCs w:val="21"/>
          <w:lang w:val="pt-BR"/>
        </w:rPr>
      </w:pPr>
      <w:r>
        <w:rPr>
          <w:rFonts w:hint="default" w:ascii="Calibri" w:hAnsi="Calibri" w:cs="Calibri"/>
          <w:i/>
          <w:iCs/>
          <w:color w:val="000000"/>
          <w:sz w:val="21"/>
          <w:szCs w:val="21"/>
        </w:rPr>
        <w:t xml:space="preserve">O custo de operacionalização e uso do sistema de Pregão Eletrônico ficará a cargo do licitante, que pagará à </w:t>
      </w:r>
      <w:r>
        <w:rPr>
          <w:rFonts w:hint="default" w:ascii="Calibri" w:hAnsi="Calibri" w:cs="Calibri"/>
          <w:i/>
          <w:iCs/>
          <w:color w:val="auto"/>
          <w:sz w:val="21"/>
          <w:szCs w:val="21"/>
          <w:highlight w:val="none"/>
        </w:rPr>
        <w:t>BBMNET Licitações Eletrônicas</w:t>
      </w:r>
      <w:r>
        <w:rPr>
          <w:rFonts w:hint="default" w:ascii="Calibri" w:hAnsi="Calibri" w:cs="Calibri"/>
          <w:i/>
          <w:iCs/>
          <w:color w:val="000000"/>
          <w:sz w:val="21"/>
          <w:szCs w:val="21"/>
        </w:rPr>
        <w:t>, provedora do sistema eletrônico, o valor por ela fixado, a título de taxa pela utilização dos recursos de tecnologia da informação</w:t>
      </w:r>
      <w:r>
        <w:rPr>
          <w:rFonts w:hint="default" w:ascii="Calibri" w:hAnsi="Calibri" w:cs="Calibri"/>
          <w:i/>
          <w:iCs/>
          <w:color w:val="000000"/>
          <w:sz w:val="21"/>
          <w:szCs w:val="21"/>
          <w:lang w:val="pt-BR"/>
        </w:rPr>
        <w:t>.</w:t>
      </w:r>
      <w:r>
        <w:rPr>
          <w:rFonts w:hint="default" w:ascii="Calibri" w:hAnsi="Calibri" w:cs="Calibri"/>
          <w:i/>
          <w:iCs/>
          <w:color w:val="000000"/>
          <w:sz w:val="21"/>
          <w:szCs w:val="21"/>
        </w:rPr>
        <w:t xml:space="preserve"> </w:t>
      </w:r>
    </w:p>
    <w:p w14:paraId="03A4FBBC">
      <w:pPr>
        <w:pStyle w:val="130"/>
        <w:spacing w:line="300" w:lineRule="atLeast"/>
        <w:ind w:left="708" w:leftChars="0" w:right="-48" w:hanging="4"/>
        <w:rPr>
          <w:rFonts w:hint="default" w:ascii="Calibri" w:hAnsi="Calibri" w:cs="Calibri"/>
          <w:b/>
          <w:bCs/>
          <w:i/>
          <w:iCs/>
          <w:color w:val="000000"/>
          <w:sz w:val="21"/>
          <w:szCs w:val="21"/>
          <w:lang w:val="pt-BR"/>
        </w:rPr>
      </w:pPr>
    </w:p>
    <w:p w14:paraId="1BE7FAEB">
      <w:pPr>
        <w:pStyle w:val="58"/>
        <w:tabs>
          <w:tab w:val="left" w:pos="480"/>
        </w:tabs>
        <w:spacing w:after="0"/>
        <w:ind w:left="0" w:leftChars="0" w:firstLine="0" w:firstLineChars="0"/>
        <w:rPr>
          <w:rFonts w:hint="default" w:ascii="Calibri" w:hAnsi="Calibri" w:cs="Calibri"/>
          <w:color w:val="auto"/>
          <w:sz w:val="22"/>
          <w:szCs w:val="22"/>
        </w:rPr>
      </w:pPr>
      <w:r>
        <w:rPr>
          <w:rFonts w:hint="default" w:ascii="Calibri" w:hAnsi="Calibri" w:cs="Calibri"/>
          <w:color w:val="auto"/>
          <w:sz w:val="22"/>
          <w:szCs w:val="22"/>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6446F88A">
      <w:pPr>
        <w:pStyle w:val="58"/>
        <w:tabs>
          <w:tab w:val="left" w:pos="480"/>
        </w:tabs>
        <w:spacing w:after="0"/>
        <w:ind w:left="0" w:leftChars="0" w:firstLine="0" w:firstLineChars="0"/>
        <w:rPr>
          <w:rFonts w:eastAsia="Times New Roman" w:asciiTheme="majorHAnsi" w:hAnsiTheme="majorHAnsi" w:cstheme="majorHAnsi"/>
          <w:color w:val="auto"/>
          <w:sz w:val="22"/>
          <w:szCs w:val="22"/>
        </w:rPr>
      </w:pPr>
      <w:r>
        <w:rPr>
          <w:rFonts w:asciiTheme="majorHAnsi" w:hAnsiTheme="majorHAnsi" w:cstheme="majorHAnsi"/>
          <w:color w:val="auto"/>
          <w:sz w:val="22"/>
          <w:szCs w:val="22"/>
        </w:rPr>
        <w:t xml:space="preserve">Será concedido tratamento favorecido para as microempresas e empresas de pequeno porte, </w:t>
      </w:r>
      <w:r>
        <w:rPr>
          <w:rFonts w:hint="default" w:asciiTheme="majorHAnsi" w:hAnsiTheme="majorHAnsi" w:cstheme="majorHAnsi"/>
          <w:color w:val="auto"/>
          <w:sz w:val="22"/>
          <w:szCs w:val="22"/>
          <w:lang w:val="pt-BR"/>
        </w:rPr>
        <w:t xml:space="preserve">e, quando admitida, </w:t>
      </w:r>
      <w:r>
        <w:rPr>
          <w:rFonts w:asciiTheme="majorHAnsi" w:hAnsiTheme="majorHAnsi" w:cstheme="majorHAnsi"/>
          <w:color w:val="auto"/>
          <w:sz w:val="22"/>
          <w:szCs w:val="22"/>
        </w:rPr>
        <w:t xml:space="preserve">para as sociedades cooperativas </w:t>
      </w:r>
      <w:r>
        <w:rPr>
          <w:rFonts w:eastAsia="Times New Roman" w:asciiTheme="majorHAnsi" w:hAnsiTheme="majorHAnsi" w:cstheme="majorHAnsi"/>
          <w:color w:val="auto"/>
          <w:sz w:val="22"/>
          <w:szCs w:val="22"/>
        </w:rPr>
        <w:t xml:space="preserve">mencionadas no </w:t>
      </w:r>
      <w:r>
        <w:rPr>
          <w:rFonts w:eastAsia="Times New Roman" w:asciiTheme="majorHAnsi" w:hAnsiTheme="majorHAnsi" w:cstheme="majorHAnsi"/>
          <w:sz w:val="22"/>
          <w:szCs w:val="22"/>
        </w:rPr>
        <w:t xml:space="preserve">artigo </w:t>
      </w:r>
      <w:r>
        <w:rPr>
          <w:rFonts w:asciiTheme="majorHAnsi" w:hAnsiTheme="majorHAnsi" w:cstheme="majorHAnsi"/>
          <w:sz w:val="22"/>
          <w:szCs w:val="22"/>
        </w:rPr>
        <w:t>16 da Lei nº 14.133, de 2021</w:t>
      </w:r>
      <w:r>
        <w:rPr>
          <w:rFonts w:asciiTheme="majorHAnsi" w:hAnsiTheme="majorHAnsi" w:cstheme="majorHAnsi"/>
          <w:color w:val="auto"/>
          <w:sz w:val="22"/>
          <w:szCs w:val="22"/>
        </w:rPr>
        <w:t xml:space="preserve">, para o agricultor familiar, o produtor rural pessoa física e para o microempreendedor individual - MEI, nos limites previstos da </w:t>
      </w:r>
      <w:r>
        <w:rPr>
          <w:rFonts w:asciiTheme="majorHAnsi" w:hAnsiTheme="majorHAnsi" w:cstheme="majorHAnsi"/>
          <w:sz w:val="22"/>
          <w:szCs w:val="22"/>
        </w:rPr>
        <w:t>Lei Complementar nº 123, de 2006</w:t>
      </w:r>
      <w:r>
        <w:rPr>
          <w:rFonts w:asciiTheme="majorHAnsi" w:hAnsiTheme="majorHAnsi" w:cstheme="majorHAnsi"/>
          <w:color w:val="auto"/>
          <w:sz w:val="22"/>
          <w:szCs w:val="22"/>
        </w:rPr>
        <w:t>.</w:t>
      </w:r>
    </w:p>
    <w:p w14:paraId="4AD1A169">
      <w:pPr>
        <w:pStyle w:val="58"/>
        <w:numPr>
          <w:ilvl w:val="1"/>
          <w:numId w:val="0"/>
        </w:numPr>
        <w:tabs>
          <w:tab w:val="left" w:pos="480"/>
        </w:tabs>
        <w:spacing w:after="0"/>
        <w:ind w:leftChars="0"/>
        <w:rPr>
          <w:rFonts w:hint="default" w:ascii="Calibri" w:hAnsi="Calibri" w:eastAsia="SimSun" w:cs="Calibri"/>
          <w:sz w:val="21"/>
          <w:szCs w:val="21"/>
        </w:rPr>
      </w:pPr>
      <w:r>
        <w:rPr>
          <w:rFonts w:hint="default" w:ascii="Calibri" w:hAnsi="Calibri" w:eastAsia="SimSun" w:cs="Calibri"/>
          <w:sz w:val="21"/>
          <w:szCs w:val="21"/>
          <w:lang w:val="pt-BR"/>
        </w:rPr>
        <w:tab/>
      </w:r>
      <w:r>
        <w:rPr>
          <w:rFonts w:hint="default" w:ascii="Calibri" w:hAnsi="Calibri" w:eastAsia="SimSun" w:cs="Calibri"/>
          <w:sz w:val="21"/>
          <w:szCs w:val="21"/>
          <w:lang w:val="pt-BR"/>
        </w:rPr>
        <w:t xml:space="preserve">2.3.1 </w:t>
      </w:r>
      <w:r>
        <w:rPr>
          <w:rFonts w:hint="default" w:ascii="Calibri" w:hAnsi="Calibri" w:eastAsia="SimSun" w:cs="Calibri"/>
          <w:sz w:val="21"/>
          <w:szCs w:val="21"/>
        </w:rPr>
        <w:t xml:space="preserve">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 (R$ 4.800.000,00). </w:t>
      </w:r>
    </w:p>
    <w:p w14:paraId="15337852">
      <w:pPr>
        <w:pStyle w:val="58"/>
        <w:numPr>
          <w:ilvl w:val="1"/>
          <w:numId w:val="0"/>
        </w:numPr>
        <w:tabs>
          <w:tab w:val="left" w:pos="480"/>
        </w:tabs>
        <w:spacing w:after="0" w:line="240" w:lineRule="auto"/>
        <w:ind w:leftChars="0"/>
        <w:rPr>
          <w:rFonts w:hint="default" w:ascii="Calibri" w:hAnsi="Calibri" w:eastAsia="SimSun" w:cs="Calibri"/>
          <w:i/>
          <w:iCs/>
          <w:sz w:val="18"/>
          <w:szCs w:val="18"/>
        </w:rPr>
      </w:pPr>
      <w:r>
        <w:rPr>
          <w:rFonts w:hint="default" w:ascii="Calibri" w:hAnsi="Calibri" w:eastAsia="SimSun" w:cs="Calibri"/>
          <w:sz w:val="21"/>
          <w:szCs w:val="21"/>
          <w:lang w:val="pt-BR"/>
        </w:rPr>
        <w:tab/>
      </w:r>
      <w:r>
        <w:rPr>
          <w:rFonts w:hint="default" w:ascii="Calibri" w:hAnsi="Calibri" w:eastAsia="SimSun" w:cs="Calibri"/>
          <w:sz w:val="21"/>
          <w:szCs w:val="21"/>
          <w:lang w:val="pt-BR"/>
        </w:rPr>
        <w:tab/>
      </w:r>
      <w:r>
        <w:rPr>
          <w:rFonts w:hint="default" w:ascii="Calibri" w:hAnsi="Calibri" w:eastAsia="SimSun" w:cs="Calibri"/>
          <w:sz w:val="21"/>
          <w:szCs w:val="21"/>
          <w:lang w:val="pt-BR"/>
        </w:rPr>
        <w:tab/>
      </w:r>
      <w:r>
        <w:rPr>
          <w:rFonts w:hint="default" w:ascii="Calibri" w:hAnsi="Calibri" w:eastAsia="SimSun" w:cs="Calibri"/>
          <w:sz w:val="21"/>
          <w:szCs w:val="21"/>
          <w:lang w:val="pt-BR"/>
        </w:rPr>
        <w:tab/>
      </w:r>
      <w:r>
        <w:rPr>
          <w:rFonts w:hint="default" w:ascii="Calibri" w:hAnsi="Calibri" w:eastAsia="SimSun" w:cs="Calibri"/>
          <w:sz w:val="21"/>
          <w:szCs w:val="21"/>
          <w:lang w:val="pt-BR"/>
        </w:rPr>
        <w:tab/>
      </w:r>
      <w:r>
        <w:rPr>
          <w:rFonts w:hint="default" w:ascii="Calibri" w:hAnsi="Calibri" w:eastAsia="SimSun" w:cs="Calibri"/>
          <w:i/>
          <w:iCs/>
          <w:sz w:val="18"/>
          <w:szCs w:val="18"/>
        </w:rPr>
        <w:t xml:space="preserve">Nota Explicativa (AGU): Utilizar os dispositivos 2.3 e 2.3.1 apenas se houver itens com participação </w:t>
      </w:r>
      <w:r>
        <w:rPr>
          <w:rFonts w:hint="default" w:ascii="Calibri" w:hAnsi="Calibri" w:eastAsia="SimSun" w:cs="Calibri"/>
          <w:i/>
          <w:iCs/>
          <w:sz w:val="18"/>
          <w:szCs w:val="18"/>
          <w:lang w:val="pt-BR"/>
        </w:rPr>
        <w:t>exclusiva</w:t>
      </w:r>
      <w:r>
        <w:rPr>
          <w:rFonts w:hint="default" w:ascii="Calibri" w:hAnsi="Calibri" w:eastAsia="SimSun" w:cs="Calibri"/>
          <w:i/>
          <w:iCs/>
          <w:sz w:val="18"/>
          <w:szCs w:val="18"/>
        </w:rPr>
        <w:t xml:space="preserve"> de Microempresas e Empresas de Pequeno Porte em razão do valor, conforme art. 48 da Lei Complementar nº 123, de 2006. </w:t>
      </w:r>
    </w:p>
    <w:p w14:paraId="5A9F4B15">
      <w:pPr>
        <w:pStyle w:val="58"/>
        <w:numPr>
          <w:ilvl w:val="1"/>
          <w:numId w:val="0"/>
        </w:numPr>
        <w:tabs>
          <w:tab w:val="left" w:pos="480"/>
        </w:tabs>
        <w:spacing w:after="0" w:line="240" w:lineRule="auto"/>
        <w:ind w:leftChars="0"/>
        <w:rPr>
          <w:rFonts w:hint="default" w:ascii="Calibri" w:hAnsi="Calibri" w:eastAsia="Times New Roman" w:cs="Calibri"/>
          <w:i/>
          <w:iCs/>
          <w:color w:val="auto"/>
          <w:sz w:val="18"/>
          <w:szCs w:val="18"/>
        </w:rPr>
      </w:pPr>
      <w:r>
        <w:rPr>
          <w:rFonts w:hint="default" w:ascii="Calibri" w:hAnsi="Calibri" w:eastAsia="SimSun" w:cs="Calibri"/>
          <w:i/>
          <w:iCs/>
          <w:sz w:val="18"/>
          <w:szCs w:val="18"/>
          <w:lang w:val="pt-BR"/>
        </w:rPr>
        <w:tab/>
      </w:r>
      <w:r>
        <w:rPr>
          <w:rFonts w:hint="default" w:ascii="Calibri" w:hAnsi="Calibri" w:eastAsia="SimSun" w:cs="Calibri"/>
          <w:i/>
          <w:iCs/>
          <w:sz w:val="18"/>
          <w:szCs w:val="18"/>
          <w:lang w:val="pt-BR"/>
        </w:rPr>
        <w:tab/>
      </w:r>
      <w:r>
        <w:rPr>
          <w:rFonts w:hint="default" w:ascii="Calibri" w:hAnsi="Calibri" w:eastAsia="SimSun" w:cs="Calibri"/>
          <w:i/>
          <w:iCs/>
          <w:sz w:val="18"/>
          <w:szCs w:val="18"/>
          <w:lang w:val="pt-BR"/>
        </w:rPr>
        <w:tab/>
      </w:r>
      <w:r>
        <w:rPr>
          <w:rFonts w:hint="default" w:ascii="Calibri" w:hAnsi="Calibri" w:eastAsia="SimSun" w:cs="Calibri"/>
          <w:i/>
          <w:iCs/>
          <w:sz w:val="18"/>
          <w:szCs w:val="18"/>
        </w:rPr>
        <w:t>Nos termos do art. 4º, §1º, da Lei nº 14.133, de 2021, não será aplicado esse tratamento diferenciado (I) no caso de licitação para aquisição de bens ou contratação de serviços em geral, ao item cujo valor estimado for superior à receita bruta máxima admitida para fins de enquadramento como empresa de pequeno porte; e (II) no caso de contratação de obras e serviços de engenharia, às licitações cujo valor estimado for superior à receita bruta máxima admitida para fins de enquadramento como empresa de pequeno porte. Nas contratações com prazo de vigência superior a 1 (um) ano, será considerado o valor anual do contrato na aplicação dos limites acima estabelecidos (art. 4º, §3º, da Lei nº 14.133/2021)</w:t>
      </w:r>
    </w:p>
    <w:p w14:paraId="45B7781E">
      <w:pPr>
        <w:pStyle w:val="58"/>
        <w:tabs>
          <w:tab w:val="left" w:pos="480"/>
        </w:tabs>
        <w:spacing w:after="0" w:line="240" w:lineRule="auto"/>
        <w:ind w:left="0" w:leftChars="0" w:firstLine="0" w:firstLineChars="0"/>
        <w:rPr>
          <w:rFonts w:eastAsia="Times New Roman" w:asciiTheme="majorHAnsi" w:hAnsiTheme="majorHAnsi" w:cstheme="majorHAnsi"/>
          <w:color w:val="auto"/>
          <w:sz w:val="22"/>
          <w:szCs w:val="22"/>
        </w:rPr>
      </w:pPr>
      <w:bookmarkStart w:id="2" w:name="_Ref117000692"/>
      <w:r>
        <w:rPr>
          <w:rFonts w:eastAsia="Times New Roman" w:asciiTheme="majorHAnsi" w:hAnsiTheme="majorHAnsi" w:cstheme="majorHAnsi"/>
          <w:color w:val="auto"/>
          <w:sz w:val="22"/>
          <w:szCs w:val="22"/>
        </w:rPr>
        <w:t>Não poderão disputar esta licitação:</w:t>
      </w:r>
      <w:bookmarkEnd w:id="2"/>
    </w:p>
    <w:p w14:paraId="4073B706">
      <w:pPr>
        <w:pStyle w:val="58"/>
        <w:keepNext w:val="0"/>
        <w:keepLines w:val="0"/>
        <w:pageBreakBefore w:val="0"/>
        <w:widowControl/>
        <w:numPr>
          <w:ilvl w:val="1"/>
          <w:numId w:val="0"/>
        </w:numPr>
        <w:tabs>
          <w:tab w:val="left" w:pos="480"/>
        </w:tabs>
        <w:kinsoku/>
        <w:wordWrap/>
        <w:overflowPunct/>
        <w:topLinePunct w:val="0"/>
        <w:autoSpaceDE/>
        <w:autoSpaceDN/>
        <w:bidi w:val="0"/>
        <w:adjustRightInd/>
        <w:snapToGrid/>
        <w:spacing w:before="0" w:after="0" w:line="240" w:lineRule="auto"/>
        <w:ind w:leftChars="0"/>
        <w:textAlignment w:val="auto"/>
        <w:rPr>
          <w:rFonts w:eastAsia="Times New Roman" w:asciiTheme="majorHAnsi" w:hAnsiTheme="majorHAnsi" w:cstheme="majorHAnsi"/>
          <w:color w:val="auto"/>
          <w:sz w:val="22"/>
          <w:szCs w:val="22"/>
        </w:rPr>
      </w:pPr>
    </w:p>
    <w:p w14:paraId="5F8D7F02">
      <w:pPr>
        <w:keepNext w:val="0"/>
        <w:keepLines w:val="0"/>
        <w:pageBreakBefore w:val="0"/>
        <w:widowControl/>
        <w:numPr>
          <w:ilvl w:val="2"/>
          <w:numId w:val="2"/>
        </w:numPr>
        <w:tabs>
          <w:tab w:val="left" w:pos="960"/>
          <w:tab w:val="left" w:pos="1440"/>
        </w:tabs>
        <w:kinsoku/>
        <w:wordWrap/>
        <w:overflowPunct/>
        <w:topLinePunct w:val="0"/>
        <w:autoSpaceDE w:val="0"/>
        <w:autoSpaceDN/>
        <w:bidi w:val="0"/>
        <w:adjustRightInd/>
        <w:snapToGrid w:val="0"/>
        <w:spacing w:line="240" w:lineRule="auto"/>
        <w:ind w:left="0" w:firstLine="567"/>
        <w:jc w:val="both"/>
        <w:textAlignment w:val="auto"/>
        <w:rPr>
          <w:rFonts w:asciiTheme="majorHAnsi" w:hAnsiTheme="majorHAnsi" w:cstheme="majorHAnsi"/>
          <w:sz w:val="22"/>
          <w:szCs w:val="22"/>
        </w:rPr>
      </w:pPr>
      <w:bookmarkStart w:id="3" w:name="_Ref113883338"/>
      <w:r>
        <w:rPr>
          <w:rFonts w:asciiTheme="majorHAnsi" w:hAnsiTheme="majorHAnsi" w:cstheme="majorHAnsi"/>
          <w:sz w:val="22"/>
          <w:szCs w:val="22"/>
        </w:rPr>
        <w:t>aquele que não atenda às condições deste Edital e seu(s) anexo(s);</w:t>
      </w:r>
    </w:p>
    <w:p w14:paraId="1B885110">
      <w:pPr>
        <w:pStyle w:val="60"/>
        <w:keepNext w:val="0"/>
        <w:keepLines w:val="0"/>
        <w:pageBreakBefore w:val="0"/>
        <w:widowControl/>
        <w:tabs>
          <w:tab w:val="left" w:pos="960"/>
        </w:tabs>
        <w:kinsoku/>
        <w:wordWrap/>
        <w:overflowPunct/>
        <w:topLinePunct w:val="0"/>
        <w:autoSpaceDN/>
        <w:bidi w:val="0"/>
        <w:adjustRightInd/>
        <w:spacing w:before="0" w:after="0" w:line="240" w:lineRule="auto"/>
        <w:ind w:left="0" w:firstLine="567"/>
        <w:textAlignment w:val="auto"/>
        <w:rPr>
          <w:rFonts w:asciiTheme="majorHAnsi" w:hAnsiTheme="majorHAnsi" w:cstheme="majorHAnsi"/>
          <w:color w:val="auto"/>
          <w:sz w:val="22"/>
          <w:szCs w:val="22"/>
        </w:rPr>
      </w:pPr>
      <w:bookmarkStart w:id="4" w:name="_Ref114659912"/>
      <w:r>
        <w:rPr>
          <w:rFonts w:asciiTheme="majorHAnsi" w:hAnsiTheme="majorHAnsi" w:cstheme="majorHAnsi"/>
          <w:color w:val="auto"/>
          <w:sz w:val="22"/>
          <w:szCs w:val="22"/>
        </w:rPr>
        <w:t>autor do anteprojeto, do projeto básico ou do projeto executivo, pessoa física ou jurídica, quando a licitação versar sobre serviços ou fornecimento de bens a ele relacionados;</w:t>
      </w:r>
      <w:bookmarkEnd w:id="3"/>
      <w:bookmarkEnd w:id="4"/>
    </w:p>
    <w:p w14:paraId="7C5959CE">
      <w:pPr>
        <w:pStyle w:val="60"/>
        <w:keepNext w:val="0"/>
        <w:keepLines w:val="0"/>
        <w:pageBreakBefore w:val="0"/>
        <w:widowControl/>
        <w:tabs>
          <w:tab w:val="left" w:pos="960"/>
        </w:tabs>
        <w:kinsoku/>
        <w:wordWrap/>
        <w:overflowPunct/>
        <w:topLinePunct w:val="0"/>
        <w:autoSpaceDN/>
        <w:bidi w:val="0"/>
        <w:adjustRightInd/>
        <w:spacing w:before="0" w:after="0" w:line="240" w:lineRule="auto"/>
        <w:ind w:left="0" w:firstLine="567"/>
        <w:textAlignment w:val="auto"/>
        <w:rPr>
          <w:rFonts w:asciiTheme="majorHAnsi" w:hAnsiTheme="majorHAnsi" w:cstheme="majorHAnsi"/>
          <w:color w:val="auto"/>
          <w:sz w:val="22"/>
          <w:szCs w:val="22"/>
        </w:rPr>
      </w:pPr>
      <w:bookmarkStart w:id="5" w:name="_Ref114659913"/>
      <w:bookmarkStart w:id="6" w:name="_Ref113883339"/>
      <w:r>
        <w:rPr>
          <w:rFonts w:asciiTheme="majorHAnsi" w:hAnsiTheme="majorHAnsi" w:cstheme="majorHAnsi"/>
          <w:color w:val="auto"/>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5"/>
      <w:r>
        <w:rPr>
          <w:rFonts w:asciiTheme="majorHAnsi" w:hAnsiTheme="majorHAnsi" w:cstheme="majorHAnsi"/>
          <w:color w:val="auto"/>
          <w:sz w:val="22"/>
          <w:szCs w:val="22"/>
        </w:rPr>
        <w:t xml:space="preserve"> </w:t>
      </w:r>
      <w:bookmarkEnd w:id="6"/>
    </w:p>
    <w:p w14:paraId="17F57124">
      <w:pPr>
        <w:pStyle w:val="60"/>
        <w:keepNext w:val="0"/>
        <w:keepLines w:val="0"/>
        <w:pageBreakBefore w:val="0"/>
        <w:widowControl/>
        <w:tabs>
          <w:tab w:val="left" w:pos="960"/>
        </w:tabs>
        <w:kinsoku/>
        <w:wordWrap/>
        <w:overflowPunct/>
        <w:topLinePunct w:val="0"/>
        <w:autoSpaceDN/>
        <w:bidi w:val="0"/>
        <w:adjustRightInd/>
        <w:spacing w:before="0" w:after="0" w:line="240" w:lineRule="auto"/>
        <w:ind w:left="0" w:firstLine="709"/>
        <w:textAlignment w:val="auto"/>
        <w:rPr>
          <w:rFonts w:asciiTheme="majorHAnsi" w:hAnsiTheme="majorHAnsi" w:cstheme="majorHAnsi"/>
          <w:color w:val="auto"/>
          <w:sz w:val="22"/>
          <w:szCs w:val="22"/>
        </w:rPr>
      </w:pPr>
      <w:bookmarkStart w:id="7" w:name="_Ref113883003"/>
      <w:r>
        <w:rPr>
          <w:rFonts w:asciiTheme="majorHAnsi" w:hAnsiTheme="majorHAnsi" w:cstheme="majorHAnsi"/>
          <w:color w:val="auto"/>
          <w:sz w:val="22"/>
          <w:szCs w:val="22"/>
        </w:rPr>
        <w:t>pessoa física ou jurídica que se encontre, ao tempo da licitação, impossibilitada de participar da licitação em decorrência de sanção que lhe foi imposta;</w:t>
      </w:r>
      <w:bookmarkEnd w:id="7"/>
    </w:p>
    <w:p w14:paraId="534CE8B9">
      <w:pPr>
        <w:pStyle w:val="60"/>
        <w:keepNext w:val="0"/>
        <w:keepLines w:val="0"/>
        <w:pageBreakBefore w:val="0"/>
        <w:widowControl/>
        <w:tabs>
          <w:tab w:val="left" w:pos="960"/>
        </w:tabs>
        <w:kinsoku/>
        <w:wordWrap/>
        <w:overflowPunct/>
        <w:topLinePunct w:val="0"/>
        <w:autoSpaceDN/>
        <w:bidi w:val="0"/>
        <w:adjustRightInd/>
        <w:spacing w:before="0" w:after="0" w:line="240" w:lineRule="auto"/>
        <w:ind w:left="0" w:firstLine="709"/>
        <w:textAlignment w:val="auto"/>
        <w:rPr>
          <w:rFonts w:asciiTheme="majorHAnsi" w:hAnsiTheme="majorHAnsi" w:cstheme="majorHAnsi"/>
          <w:color w:val="auto"/>
          <w:sz w:val="22"/>
          <w:szCs w:val="22"/>
        </w:rPr>
      </w:pPr>
      <w:r>
        <w:rPr>
          <w:rFonts w:asciiTheme="majorHAnsi" w:hAnsiTheme="majorHAnsi" w:cstheme="majorHAnsi"/>
          <w:color w:val="auto"/>
          <w:sz w:val="22"/>
          <w:szCs w:val="22"/>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881AD67">
      <w:pPr>
        <w:pStyle w:val="60"/>
        <w:keepNext w:val="0"/>
        <w:keepLines w:val="0"/>
        <w:pageBreakBefore w:val="0"/>
        <w:widowControl/>
        <w:tabs>
          <w:tab w:val="left" w:pos="960"/>
        </w:tabs>
        <w:kinsoku/>
        <w:wordWrap/>
        <w:overflowPunct/>
        <w:topLinePunct w:val="0"/>
        <w:autoSpaceDN/>
        <w:bidi w:val="0"/>
        <w:adjustRightInd/>
        <w:spacing w:before="0" w:after="0" w:line="240" w:lineRule="auto"/>
        <w:ind w:left="0" w:firstLine="709"/>
        <w:textAlignment w:val="auto"/>
        <w:rPr>
          <w:rFonts w:asciiTheme="majorHAnsi" w:hAnsiTheme="majorHAnsi" w:cstheme="majorHAnsi"/>
          <w:color w:val="auto"/>
          <w:sz w:val="22"/>
          <w:szCs w:val="22"/>
        </w:rPr>
      </w:pPr>
      <w:bookmarkStart w:id="8" w:name="_Ref113883579"/>
      <w:r>
        <w:rPr>
          <w:rFonts w:asciiTheme="majorHAnsi" w:hAnsiTheme="majorHAnsi" w:cstheme="majorHAnsi"/>
          <w:color w:val="auto"/>
          <w:sz w:val="22"/>
          <w:szCs w:val="22"/>
        </w:rPr>
        <w:t>empresas controladoras, controladas ou coligadas, nos termos da Lei nº 6.404, de 15 de dezembro de 1976, concorrendo entre si;</w:t>
      </w:r>
      <w:bookmarkEnd w:id="8"/>
    </w:p>
    <w:p w14:paraId="6A1A4ECE">
      <w:pPr>
        <w:pStyle w:val="60"/>
        <w:keepNext w:val="0"/>
        <w:keepLines w:val="0"/>
        <w:pageBreakBefore w:val="0"/>
        <w:widowControl/>
        <w:tabs>
          <w:tab w:val="left" w:pos="960"/>
        </w:tabs>
        <w:kinsoku/>
        <w:wordWrap/>
        <w:overflowPunct/>
        <w:topLinePunct w:val="0"/>
        <w:autoSpaceDN/>
        <w:bidi w:val="0"/>
        <w:adjustRightInd/>
        <w:spacing w:before="0" w:after="0" w:line="240" w:lineRule="auto"/>
        <w:ind w:left="0" w:firstLine="709"/>
        <w:textAlignment w:val="auto"/>
        <w:rPr>
          <w:rFonts w:asciiTheme="majorHAnsi" w:hAnsiTheme="majorHAnsi" w:cstheme="majorHAnsi"/>
          <w:color w:val="auto"/>
          <w:sz w:val="22"/>
          <w:szCs w:val="22"/>
        </w:rPr>
      </w:pPr>
      <w:r>
        <w:rPr>
          <w:rFonts w:asciiTheme="majorHAnsi" w:hAnsiTheme="majorHAnsi" w:cstheme="majorHAnsi"/>
          <w:color w:val="auto"/>
          <w:sz w:val="22"/>
          <w:szCs w:val="22"/>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1C1A65EA">
      <w:pPr>
        <w:pStyle w:val="60"/>
        <w:keepNext w:val="0"/>
        <w:keepLines w:val="0"/>
        <w:pageBreakBefore w:val="0"/>
        <w:widowControl/>
        <w:tabs>
          <w:tab w:val="left" w:pos="960"/>
        </w:tabs>
        <w:kinsoku/>
        <w:wordWrap/>
        <w:overflowPunct/>
        <w:topLinePunct w:val="0"/>
        <w:autoSpaceDN/>
        <w:bidi w:val="0"/>
        <w:adjustRightInd/>
        <w:spacing w:before="0" w:after="0" w:line="240" w:lineRule="auto"/>
        <w:ind w:left="0" w:firstLine="709"/>
        <w:textAlignment w:val="auto"/>
        <w:rPr>
          <w:rFonts w:asciiTheme="majorHAnsi" w:hAnsiTheme="majorHAnsi" w:cstheme="majorHAnsi"/>
          <w:color w:val="auto"/>
          <w:sz w:val="22"/>
          <w:szCs w:val="22"/>
        </w:rPr>
      </w:pPr>
      <w:bookmarkStart w:id="9" w:name="_Ref113962336"/>
      <w:r>
        <w:rPr>
          <w:rFonts w:asciiTheme="majorHAnsi" w:hAnsiTheme="majorHAnsi" w:cstheme="majorHAnsi"/>
          <w:color w:val="auto"/>
          <w:sz w:val="22"/>
          <w:szCs w:val="22"/>
        </w:rPr>
        <w:t>agente público do órgão ou entidade licitante;</w:t>
      </w:r>
      <w:bookmarkEnd w:id="9"/>
    </w:p>
    <w:p w14:paraId="7F348429">
      <w:pPr>
        <w:keepNext w:val="0"/>
        <w:keepLines w:val="0"/>
        <w:pageBreakBefore w:val="0"/>
        <w:widowControl/>
        <w:numPr>
          <w:ilvl w:val="2"/>
          <w:numId w:val="2"/>
        </w:numPr>
        <w:tabs>
          <w:tab w:val="left" w:pos="960"/>
          <w:tab w:val="left" w:pos="1440"/>
        </w:tabs>
        <w:kinsoku/>
        <w:wordWrap/>
        <w:overflowPunct/>
        <w:topLinePunct w:val="0"/>
        <w:autoSpaceDE w:val="0"/>
        <w:autoSpaceDN/>
        <w:bidi w:val="0"/>
        <w:adjustRightInd/>
        <w:snapToGrid w:val="0"/>
        <w:spacing w:line="240" w:lineRule="auto"/>
        <w:ind w:left="0" w:firstLine="709"/>
        <w:jc w:val="both"/>
        <w:textAlignment w:val="auto"/>
        <w:rPr>
          <w:rFonts w:asciiTheme="majorHAnsi" w:hAnsiTheme="majorHAnsi" w:cstheme="majorHAnsi"/>
          <w:sz w:val="22"/>
          <w:szCs w:val="22"/>
          <w:highlight w:val="none"/>
        </w:rPr>
      </w:pPr>
      <w:r>
        <w:rPr>
          <w:rFonts w:asciiTheme="majorHAnsi" w:hAnsiTheme="majorHAnsi" w:cstheme="majorHAnsi"/>
          <w:sz w:val="22"/>
          <w:szCs w:val="22"/>
          <w:highlight w:val="none"/>
        </w:rPr>
        <w:t>pessoas jurídicas reunidas em consórcio;</w:t>
      </w:r>
    </w:p>
    <w:p w14:paraId="72A7F4A9">
      <w:pPr>
        <w:keepNext w:val="0"/>
        <w:keepLines w:val="0"/>
        <w:pageBreakBefore w:val="0"/>
        <w:widowControl/>
        <w:numPr>
          <w:ilvl w:val="2"/>
          <w:numId w:val="2"/>
        </w:numPr>
        <w:tabs>
          <w:tab w:val="left" w:pos="960"/>
          <w:tab w:val="left" w:pos="1440"/>
        </w:tabs>
        <w:kinsoku/>
        <w:wordWrap/>
        <w:overflowPunct/>
        <w:topLinePunct w:val="0"/>
        <w:autoSpaceDE w:val="0"/>
        <w:autoSpaceDN/>
        <w:bidi w:val="0"/>
        <w:adjustRightInd/>
        <w:snapToGrid w:val="0"/>
        <w:spacing w:line="240" w:lineRule="auto"/>
        <w:ind w:left="0" w:firstLine="709"/>
        <w:jc w:val="both"/>
        <w:textAlignment w:val="auto"/>
        <w:rPr>
          <w:rFonts w:asciiTheme="majorHAnsi" w:hAnsiTheme="majorHAnsi" w:cstheme="majorHAnsi"/>
          <w:color w:val="000000"/>
          <w:sz w:val="22"/>
          <w:szCs w:val="22"/>
        </w:rPr>
      </w:pPr>
      <w:r>
        <w:rPr>
          <w:rFonts w:hint="default" w:asciiTheme="majorHAnsi" w:hAnsiTheme="majorHAnsi" w:cstheme="majorHAnsi"/>
          <w:color w:val="000000"/>
          <w:sz w:val="22"/>
          <w:szCs w:val="22"/>
          <w:lang w:val="pt-BR"/>
        </w:rPr>
        <w:t>o</w:t>
      </w:r>
      <w:r>
        <w:rPr>
          <w:rFonts w:asciiTheme="majorHAnsi" w:hAnsiTheme="majorHAnsi" w:cstheme="majorHAnsi"/>
          <w:color w:val="000000"/>
          <w:sz w:val="22"/>
          <w:szCs w:val="22"/>
        </w:rPr>
        <w:t>rganizações da Sociedade Civil de Interesse Público - OSCIP, atuando nessa condição;</w:t>
      </w:r>
    </w:p>
    <w:p w14:paraId="709CFE70">
      <w:pPr>
        <w:keepNext w:val="0"/>
        <w:keepLines w:val="0"/>
        <w:pageBreakBefore w:val="0"/>
        <w:widowControl/>
        <w:numPr>
          <w:ilvl w:val="2"/>
          <w:numId w:val="2"/>
        </w:numPr>
        <w:tabs>
          <w:tab w:val="left" w:pos="960"/>
          <w:tab w:val="left" w:pos="1440"/>
        </w:tabs>
        <w:kinsoku/>
        <w:wordWrap/>
        <w:overflowPunct/>
        <w:topLinePunct w:val="0"/>
        <w:autoSpaceDE w:val="0"/>
        <w:autoSpaceDN/>
        <w:bidi w:val="0"/>
        <w:adjustRightInd/>
        <w:snapToGrid w:val="0"/>
        <w:spacing w:line="240" w:lineRule="auto"/>
        <w:ind w:left="0" w:firstLine="709"/>
        <w:jc w:val="both"/>
        <w:textAlignment w:val="auto"/>
        <w:rPr>
          <w:rFonts w:asciiTheme="majorHAnsi" w:hAnsiTheme="majorHAnsi" w:cstheme="majorHAnsi"/>
          <w:color w:val="000000"/>
          <w:sz w:val="22"/>
          <w:szCs w:val="22"/>
        </w:rPr>
      </w:pPr>
      <w:r>
        <w:rPr>
          <w:rFonts w:hint="default" w:asciiTheme="majorHAnsi" w:hAnsiTheme="majorHAnsi" w:cstheme="majorHAnsi"/>
          <w:color w:val="000000"/>
          <w:sz w:val="22"/>
          <w:szCs w:val="22"/>
          <w:lang w:val="pt-BR"/>
        </w:rPr>
        <w:t>cooperativas;</w:t>
      </w:r>
    </w:p>
    <w:p w14:paraId="0FE6AB33">
      <w:pPr>
        <w:pStyle w:val="60"/>
        <w:keepNext w:val="0"/>
        <w:keepLines w:val="0"/>
        <w:pageBreakBefore w:val="0"/>
        <w:widowControl/>
        <w:tabs>
          <w:tab w:val="left" w:pos="960"/>
        </w:tabs>
        <w:kinsoku/>
        <w:wordWrap/>
        <w:overflowPunct/>
        <w:topLinePunct w:val="0"/>
        <w:autoSpaceDN/>
        <w:bidi w:val="0"/>
        <w:adjustRightInd/>
        <w:spacing w:before="0" w:after="0" w:line="240" w:lineRule="auto"/>
        <w:ind w:left="0" w:firstLine="709"/>
        <w:textAlignment w:val="auto"/>
        <w:rPr>
          <w:rFonts w:asciiTheme="majorHAnsi" w:hAnsiTheme="majorHAnsi" w:cstheme="majorHAnsi"/>
          <w:sz w:val="22"/>
          <w:szCs w:val="22"/>
        </w:rPr>
      </w:pPr>
      <w:r>
        <w:rPr>
          <w:rFonts w:asciiTheme="majorHAnsi" w:hAnsiTheme="majorHAnsi" w:cstheme="majorHAnsi"/>
          <w:sz w:val="22"/>
          <w:szCs w:val="22"/>
        </w:rPr>
        <w:t>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w:t>
      </w:r>
    </w:p>
    <w:p w14:paraId="20B5A415">
      <w:pPr>
        <w:pStyle w:val="58"/>
        <w:tabs>
          <w:tab w:val="left" w:pos="480"/>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 xml:space="preserve">O impedimento de que trata o item </w:t>
      </w:r>
      <w:r>
        <w:rPr>
          <w:rFonts w:asciiTheme="majorHAnsi" w:hAnsiTheme="majorHAnsi" w:cstheme="majorHAnsi"/>
          <w:sz w:val="22"/>
          <w:szCs w:val="22"/>
        </w:rPr>
        <w:fldChar w:fldCharType="begin"/>
      </w:r>
      <w:r>
        <w:rPr>
          <w:rFonts w:asciiTheme="majorHAnsi" w:hAnsiTheme="majorHAnsi" w:cstheme="majorHAnsi"/>
          <w:sz w:val="22"/>
          <w:szCs w:val="22"/>
        </w:rPr>
        <w:instrText xml:space="preserve"> REF _Ref113883003 \r \h  \* MERGEFORMAT </w:instrText>
      </w:r>
      <w:r>
        <w:rPr>
          <w:rFonts w:asciiTheme="majorHAnsi" w:hAnsiTheme="majorHAnsi" w:cstheme="majorHAnsi"/>
          <w:sz w:val="22"/>
          <w:szCs w:val="22"/>
        </w:rPr>
        <w:fldChar w:fldCharType="separate"/>
      </w:r>
      <w:r>
        <w:rPr>
          <w:rFonts w:asciiTheme="majorHAnsi" w:hAnsiTheme="majorHAnsi" w:cstheme="majorHAnsi"/>
          <w:sz w:val="22"/>
          <w:szCs w:val="22"/>
        </w:rPr>
        <w:t>2.</w:t>
      </w:r>
      <w:r>
        <w:rPr>
          <w:rFonts w:hint="default" w:asciiTheme="majorHAnsi" w:hAnsiTheme="majorHAnsi" w:cstheme="majorHAnsi"/>
          <w:sz w:val="22"/>
          <w:szCs w:val="22"/>
          <w:lang w:val="pt-BR"/>
        </w:rPr>
        <w:t>4</w:t>
      </w:r>
      <w:r>
        <w:rPr>
          <w:rFonts w:asciiTheme="majorHAnsi" w:hAnsiTheme="majorHAnsi" w:cstheme="majorHAnsi"/>
          <w:sz w:val="22"/>
          <w:szCs w:val="22"/>
        </w:rPr>
        <w:t>.4</w:t>
      </w:r>
      <w:r>
        <w:rPr>
          <w:rFonts w:asciiTheme="majorHAnsi" w:hAnsiTheme="majorHAnsi" w:cstheme="majorHAnsi"/>
          <w:sz w:val="22"/>
          <w:szCs w:val="22"/>
        </w:rPr>
        <w:fldChar w:fldCharType="end"/>
      </w:r>
      <w:r>
        <w:rPr>
          <w:rFonts w:asciiTheme="majorHAnsi" w:hAnsiTheme="majorHAnsi" w:cstheme="majorHAnsi"/>
          <w:sz w:val="22"/>
          <w:szCs w:val="22"/>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6A467F59">
      <w:pPr>
        <w:pStyle w:val="58"/>
        <w:tabs>
          <w:tab w:val="left" w:pos="480"/>
        </w:tabs>
        <w:spacing w:after="0"/>
        <w:ind w:left="0" w:leftChars="0" w:firstLine="0" w:firstLineChars="0"/>
        <w:rPr>
          <w:rFonts w:asciiTheme="majorHAnsi" w:hAnsiTheme="majorHAnsi" w:cstheme="majorHAnsi"/>
          <w:sz w:val="22"/>
          <w:szCs w:val="22"/>
        </w:rPr>
      </w:pPr>
      <w:bookmarkStart w:id="10" w:name="art14§2"/>
      <w:bookmarkEnd w:id="10"/>
      <w:r>
        <w:rPr>
          <w:rFonts w:asciiTheme="majorHAnsi" w:hAnsiTheme="majorHAnsi" w:cstheme="majorHAnsi"/>
          <w:sz w:val="22"/>
          <w:szCs w:val="22"/>
        </w:rPr>
        <w:t xml:space="preserve">A critério da Administração e exclusivamente a seu serviço, o autor dos projetos e a empresa a que se referem os itens </w:t>
      </w:r>
      <w:r>
        <w:rPr>
          <w:rFonts w:asciiTheme="majorHAnsi" w:hAnsiTheme="majorHAnsi" w:cstheme="majorHAnsi"/>
          <w:sz w:val="22"/>
          <w:szCs w:val="22"/>
        </w:rPr>
        <w:fldChar w:fldCharType="begin"/>
      </w:r>
      <w:r>
        <w:rPr>
          <w:rFonts w:asciiTheme="majorHAnsi" w:hAnsiTheme="majorHAnsi" w:cstheme="majorHAnsi"/>
          <w:sz w:val="22"/>
          <w:szCs w:val="22"/>
        </w:rPr>
        <w:instrText xml:space="preserve"> REF _Ref114659912 \r \h  \* MERGEFORMAT </w:instrText>
      </w:r>
      <w:r>
        <w:rPr>
          <w:rFonts w:asciiTheme="majorHAnsi" w:hAnsiTheme="majorHAnsi" w:cstheme="majorHAnsi"/>
          <w:sz w:val="22"/>
          <w:szCs w:val="22"/>
        </w:rPr>
        <w:fldChar w:fldCharType="separate"/>
      </w:r>
      <w:r>
        <w:rPr>
          <w:rFonts w:asciiTheme="majorHAnsi" w:hAnsiTheme="majorHAnsi" w:cstheme="majorHAnsi"/>
          <w:sz w:val="22"/>
          <w:szCs w:val="22"/>
        </w:rPr>
        <w:t>2.</w:t>
      </w:r>
      <w:r>
        <w:rPr>
          <w:rFonts w:hint="default" w:asciiTheme="majorHAnsi" w:hAnsiTheme="majorHAnsi" w:cstheme="majorHAnsi"/>
          <w:sz w:val="22"/>
          <w:szCs w:val="22"/>
          <w:lang w:val="pt-BR"/>
        </w:rPr>
        <w:t>4</w:t>
      </w:r>
      <w:r>
        <w:rPr>
          <w:rFonts w:asciiTheme="majorHAnsi" w:hAnsiTheme="majorHAnsi" w:cstheme="majorHAnsi"/>
          <w:sz w:val="22"/>
          <w:szCs w:val="22"/>
        </w:rPr>
        <w:t>.2</w:t>
      </w:r>
      <w:r>
        <w:rPr>
          <w:rFonts w:asciiTheme="majorHAnsi" w:hAnsiTheme="majorHAnsi" w:cstheme="majorHAnsi"/>
          <w:sz w:val="22"/>
          <w:szCs w:val="22"/>
        </w:rPr>
        <w:fldChar w:fldCharType="end"/>
      </w:r>
      <w:r>
        <w:rPr>
          <w:rFonts w:asciiTheme="majorHAnsi" w:hAnsiTheme="majorHAnsi" w:cstheme="majorHAnsi"/>
          <w:sz w:val="22"/>
          <w:szCs w:val="22"/>
        </w:rPr>
        <w:t xml:space="preserve"> e </w:t>
      </w:r>
      <w:r>
        <w:rPr>
          <w:rFonts w:asciiTheme="majorHAnsi" w:hAnsiTheme="majorHAnsi" w:cstheme="majorHAnsi"/>
          <w:sz w:val="22"/>
          <w:szCs w:val="22"/>
        </w:rPr>
        <w:fldChar w:fldCharType="begin"/>
      </w:r>
      <w:r>
        <w:rPr>
          <w:rFonts w:asciiTheme="majorHAnsi" w:hAnsiTheme="majorHAnsi" w:cstheme="majorHAnsi"/>
          <w:sz w:val="22"/>
          <w:szCs w:val="22"/>
        </w:rPr>
        <w:instrText xml:space="preserve"> REF _Ref114659913 \r \h  \* MERGEFORMAT </w:instrText>
      </w:r>
      <w:r>
        <w:rPr>
          <w:rFonts w:asciiTheme="majorHAnsi" w:hAnsiTheme="majorHAnsi" w:cstheme="majorHAnsi"/>
          <w:sz w:val="22"/>
          <w:szCs w:val="22"/>
        </w:rPr>
        <w:fldChar w:fldCharType="separate"/>
      </w:r>
      <w:r>
        <w:rPr>
          <w:rFonts w:asciiTheme="majorHAnsi" w:hAnsiTheme="majorHAnsi" w:cstheme="majorHAnsi"/>
          <w:sz w:val="22"/>
          <w:szCs w:val="22"/>
        </w:rPr>
        <w:t>2.</w:t>
      </w:r>
      <w:r>
        <w:rPr>
          <w:rFonts w:hint="default" w:asciiTheme="majorHAnsi" w:hAnsiTheme="majorHAnsi" w:cstheme="majorHAnsi"/>
          <w:sz w:val="22"/>
          <w:szCs w:val="22"/>
          <w:lang w:val="pt-BR"/>
        </w:rPr>
        <w:t>4</w:t>
      </w:r>
      <w:r>
        <w:rPr>
          <w:rFonts w:asciiTheme="majorHAnsi" w:hAnsiTheme="majorHAnsi" w:cstheme="majorHAnsi"/>
          <w:sz w:val="22"/>
          <w:szCs w:val="22"/>
        </w:rPr>
        <w:t>.3</w:t>
      </w:r>
      <w:r>
        <w:rPr>
          <w:rFonts w:asciiTheme="majorHAnsi" w:hAnsiTheme="majorHAnsi" w:cstheme="majorHAnsi"/>
          <w:sz w:val="22"/>
          <w:szCs w:val="22"/>
        </w:rPr>
        <w:fldChar w:fldCharType="end"/>
      </w:r>
      <w:r>
        <w:rPr>
          <w:rFonts w:asciiTheme="majorHAnsi" w:hAnsiTheme="majorHAnsi" w:cstheme="majorHAnsi"/>
          <w:sz w:val="22"/>
          <w:szCs w:val="22"/>
        </w:rPr>
        <w:t xml:space="preserve"> poderão participar no apoio das atividades de planejamento da contratação, de execução da licitação ou de gestão do contrato, desde que sob supervisão exclusiva de agentes públicos do órgão ou entidade.</w:t>
      </w:r>
    </w:p>
    <w:p w14:paraId="4711ABCE">
      <w:pPr>
        <w:pStyle w:val="58"/>
        <w:tabs>
          <w:tab w:val="left" w:pos="480"/>
        </w:tabs>
        <w:spacing w:after="0"/>
        <w:ind w:left="0" w:leftChars="0" w:firstLine="0" w:firstLineChars="0"/>
        <w:rPr>
          <w:rFonts w:asciiTheme="majorHAnsi" w:hAnsiTheme="majorHAnsi" w:cstheme="majorHAnsi"/>
          <w:sz w:val="22"/>
          <w:szCs w:val="22"/>
        </w:rPr>
      </w:pPr>
      <w:bookmarkStart w:id="11" w:name="art14§3"/>
      <w:bookmarkEnd w:id="11"/>
      <w:r>
        <w:rPr>
          <w:rFonts w:asciiTheme="majorHAnsi" w:hAnsiTheme="majorHAnsi" w:cstheme="majorHAnsi"/>
          <w:sz w:val="22"/>
          <w:szCs w:val="22"/>
        </w:rPr>
        <w:t>Equiparam-se aos autores do projeto as empresas integrantes do mesmo grupo econômico.</w:t>
      </w:r>
    </w:p>
    <w:p w14:paraId="3BF16B38">
      <w:pPr>
        <w:pStyle w:val="58"/>
        <w:tabs>
          <w:tab w:val="left" w:pos="480"/>
        </w:tabs>
        <w:spacing w:after="0"/>
        <w:ind w:left="0" w:leftChars="0" w:firstLine="0" w:firstLineChars="0"/>
        <w:rPr>
          <w:rFonts w:asciiTheme="majorHAnsi" w:hAnsiTheme="majorHAnsi" w:cstheme="majorHAnsi"/>
          <w:sz w:val="22"/>
          <w:szCs w:val="22"/>
        </w:rPr>
      </w:pPr>
      <w:bookmarkStart w:id="12" w:name="art14§4"/>
      <w:bookmarkEnd w:id="12"/>
      <w:r>
        <w:rPr>
          <w:rFonts w:asciiTheme="majorHAnsi" w:hAnsiTheme="majorHAnsi" w:cstheme="majorHAnsi"/>
          <w:sz w:val="22"/>
          <w:szCs w:val="22"/>
        </w:rPr>
        <w:t xml:space="preserve">O disposto nos itens </w:t>
      </w:r>
      <w:r>
        <w:rPr>
          <w:rFonts w:asciiTheme="majorHAnsi" w:hAnsiTheme="majorHAnsi" w:cstheme="majorHAnsi"/>
          <w:sz w:val="22"/>
          <w:szCs w:val="22"/>
        </w:rPr>
        <w:fldChar w:fldCharType="begin"/>
      </w:r>
      <w:r>
        <w:rPr>
          <w:rFonts w:asciiTheme="majorHAnsi" w:hAnsiTheme="majorHAnsi" w:cstheme="majorHAnsi"/>
          <w:sz w:val="22"/>
          <w:szCs w:val="22"/>
        </w:rPr>
        <w:instrText xml:space="preserve"> REF _Ref114659912 \r \h  \* MERGEFORMAT </w:instrText>
      </w:r>
      <w:r>
        <w:rPr>
          <w:rFonts w:asciiTheme="majorHAnsi" w:hAnsiTheme="majorHAnsi" w:cstheme="majorHAnsi"/>
          <w:sz w:val="22"/>
          <w:szCs w:val="22"/>
        </w:rPr>
        <w:fldChar w:fldCharType="separate"/>
      </w:r>
      <w:r>
        <w:rPr>
          <w:rFonts w:asciiTheme="majorHAnsi" w:hAnsiTheme="majorHAnsi" w:cstheme="majorHAnsi"/>
          <w:sz w:val="22"/>
          <w:szCs w:val="22"/>
        </w:rPr>
        <w:t>2.</w:t>
      </w:r>
      <w:r>
        <w:rPr>
          <w:rFonts w:hint="default" w:asciiTheme="majorHAnsi" w:hAnsiTheme="majorHAnsi" w:cstheme="majorHAnsi"/>
          <w:sz w:val="22"/>
          <w:szCs w:val="22"/>
          <w:lang w:val="pt-BR"/>
        </w:rPr>
        <w:t>4</w:t>
      </w:r>
      <w:r>
        <w:rPr>
          <w:rFonts w:asciiTheme="majorHAnsi" w:hAnsiTheme="majorHAnsi" w:cstheme="majorHAnsi"/>
          <w:sz w:val="22"/>
          <w:szCs w:val="22"/>
        </w:rPr>
        <w:t>.2</w:t>
      </w:r>
      <w:r>
        <w:rPr>
          <w:rFonts w:asciiTheme="majorHAnsi" w:hAnsiTheme="majorHAnsi" w:cstheme="majorHAnsi"/>
          <w:sz w:val="22"/>
          <w:szCs w:val="22"/>
        </w:rPr>
        <w:fldChar w:fldCharType="end"/>
      </w:r>
      <w:r>
        <w:rPr>
          <w:rFonts w:asciiTheme="majorHAnsi" w:hAnsiTheme="majorHAnsi" w:cstheme="majorHAnsi"/>
          <w:sz w:val="22"/>
          <w:szCs w:val="22"/>
        </w:rPr>
        <w:t xml:space="preserve"> e </w:t>
      </w:r>
      <w:r>
        <w:rPr>
          <w:rFonts w:asciiTheme="majorHAnsi" w:hAnsiTheme="majorHAnsi" w:cstheme="majorHAnsi"/>
          <w:sz w:val="22"/>
          <w:szCs w:val="22"/>
        </w:rPr>
        <w:fldChar w:fldCharType="begin"/>
      </w:r>
      <w:r>
        <w:rPr>
          <w:rFonts w:asciiTheme="majorHAnsi" w:hAnsiTheme="majorHAnsi" w:cstheme="majorHAnsi"/>
          <w:sz w:val="22"/>
          <w:szCs w:val="22"/>
        </w:rPr>
        <w:instrText xml:space="preserve"> REF _Ref114659913 \r \h  \* MERGEFORMAT </w:instrText>
      </w:r>
      <w:r>
        <w:rPr>
          <w:rFonts w:asciiTheme="majorHAnsi" w:hAnsiTheme="majorHAnsi" w:cstheme="majorHAnsi"/>
          <w:sz w:val="22"/>
          <w:szCs w:val="22"/>
        </w:rPr>
        <w:fldChar w:fldCharType="separate"/>
      </w:r>
      <w:r>
        <w:rPr>
          <w:rFonts w:asciiTheme="majorHAnsi" w:hAnsiTheme="majorHAnsi" w:cstheme="majorHAnsi"/>
          <w:sz w:val="22"/>
          <w:szCs w:val="22"/>
        </w:rPr>
        <w:t>2.</w:t>
      </w:r>
      <w:r>
        <w:rPr>
          <w:rFonts w:hint="default" w:asciiTheme="majorHAnsi" w:hAnsiTheme="majorHAnsi" w:cstheme="majorHAnsi"/>
          <w:sz w:val="22"/>
          <w:szCs w:val="22"/>
          <w:lang w:val="pt-BR"/>
        </w:rPr>
        <w:t>4</w:t>
      </w:r>
      <w:r>
        <w:rPr>
          <w:rFonts w:asciiTheme="majorHAnsi" w:hAnsiTheme="majorHAnsi" w:cstheme="majorHAnsi"/>
          <w:sz w:val="22"/>
          <w:szCs w:val="22"/>
        </w:rPr>
        <w:t>.3</w:t>
      </w:r>
      <w:r>
        <w:rPr>
          <w:rFonts w:asciiTheme="majorHAnsi" w:hAnsiTheme="majorHAnsi" w:cstheme="majorHAnsi"/>
          <w:sz w:val="22"/>
          <w:szCs w:val="22"/>
        </w:rPr>
        <w:fldChar w:fldCharType="end"/>
      </w:r>
      <w:r>
        <w:rPr>
          <w:rFonts w:asciiTheme="majorHAnsi" w:hAnsiTheme="majorHAnsi" w:cstheme="majorHAnsi"/>
          <w:sz w:val="22"/>
          <w:szCs w:val="22"/>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5F88BA37">
      <w:pPr>
        <w:pStyle w:val="58"/>
        <w:tabs>
          <w:tab w:val="left" w:pos="480"/>
        </w:tabs>
        <w:spacing w:after="0"/>
        <w:ind w:left="0" w:leftChars="0" w:firstLine="0" w:firstLineChars="0"/>
        <w:rPr>
          <w:rFonts w:asciiTheme="majorHAnsi" w:hAnsiTheme="majorHAnsi" w:cstheme="majorHAnsi"/>
          <w:sz w:val="22"/>
          <w:szCs w:val="22"/>
        </w:rPr>
      </w:pPr>
      <w:bookmarkStart w:id="13" w:name="art14§5"/>
      <w:bookmarkEnd w:id="13"/>
      <w:r>
        <w:rPr>
          <w:rFonts w:asciiTheme="majorHAnsi" w:hAnsiTheme="majorHAnsi" w:cstheme="majorHAnsi"/>
          <w:sz w:val="22"/>
          <w:szCs w:val="22"/>
        </w:rPr>
        <w:t>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14.133/2021.</w:t>
      </w:r>
    </w:p>
    <w:p w14:paraId="77513CDB">
      <w:pPr>
        <w:pStyle w:val="58"/>
        <w:tabs>
          <w:tab w:val="left" w:pos="480"/>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 xml:space="preserve">A vedação de que trata o item </w:t>
      </w:r>
      <w:r>
        <w:rPr>
          <w:rFonts w:asciiTheme="majorHAnsi" w:hAnsiTheme="majorHAnsi" w:cstheme="majorHAnsi"/>
          <w:sz w:val="22"/>
          <w:szCs w:val="22"/>
        </w:rPr>
        <w:fldChar w:fldCharType="begin"/>
      </w:r>
      <w:r>
        <w:rPr>
          <w:rFonts w:asciiTheme="majorHAnsi" w:hAnsiTheme="majorHAnsi" w:cstheme="majorHAnsi"/>
          <w:sz w:val="22"/>
          <w:szCs w:val="22"/>
        </w:rPr>
        <w:instrText xml:space="preserve"> REF _Ref113962336 \r \h  \* MERGEFORMAT </w:instrText>
      </w:r>
      <w:r>
        <w:rPr>
          <w:rFonts w:asciiTheme="majorHAnsi" w:hAnsiTheme="majorHAnsi" w:cstheme="majorHAnsi"/>
          <w:sz w:val="22"/>
          <w:szCs w:val="22"/>
        </w:rPr>
        <w:fldChar w:fldCharType="separate"/>
      </w:r>
      <w:r>
        <w:rPr>
          <w:rFonts w:asciiTheme="majorHAnsi" w:hAnsiTheme="majorHAnsi" w:cstheme="majorHAnsi"/>
          <w:sz w:val="22"/>
          <w:szCs w:val="22"/>
        </w:rPr>
        <w:t>2.</w:t>
      </w:r>
      <w:r>
        <w:rPr>
          <w:rFonts w:hint="default" w:asciiTheme="majorHAnsi" w:hAnsiTheme="majorHAnsi" w:cstheme="majorHAnsi"/>
          <w:sz w:val="22"/>
          <w:szCs w:val="22"/>
          <w:lang w:val="pt-BR"/>
        </w:rPr>
        <w:t>4</w:t>
      </w:r>
      <w:r>
        <w:rPr>
          <w:rFonts w:asciiTheme="majorHAnsi" w:hAnsiTheme="majorHAnsi" w:cstheme="majorHAnsi"/>
          <w:sz w:val="22"/>
          <w:szCs w:val="22"/>
        </w:rPr>
        <w:t>.8</w:t>
      </w:r>
      <w:r>
        <w:rPr>
          <w:rFonts w:asciiTheme="majorHAnsi" w:hAnsiTheme="majorHAnsi" w:cstheme="majorHAnsi"/>
          <w:sz w:val="22"/>
          <w:szCs w:val="22"/>
        </w:rPr>
        <w:fldChar w:fldCharType="end"/>
      </w:r>
      <w:r>
        <w:rPr>
          <w:rFonts w:asciiTheme="majorHAnsi" w:hAnsiTheme="majorHAnsi" w:cstheme="majorHAnsi"/>
          <w:sz w:val="22"/>
          <w:szCs w:val="22"/>
        </w:rPr>
        <w:t xml:space="preserve"> estende-se a terceiro que auxilie a condução da contratação na qualidade de integrante de equipe de apoio, profissional especializado ou funcionário ou representante de empresa que preste assessoria técnica.</w:t>
      </w:r>
    </w:p>
    <w:p w14:paraId="24E0E592">
      <w:pPr>
        <w:pStyle w:val="58"/>
        <w:numPr>
          <w:ilvl w:val="1"/>
          <w:numId w:val="0"/>
        </w:numPr>
        <w:tabs>
          <w:tab w:val="left" w:pos="480"/>
        </w:tabs>
        <w:spacing w:after="0"/>
        <w:ind w:leftChars="0"/>
        <w:rPr>
          <w:rFonts w:asciiTheme="majorHAnsi" w:hAnsiTheme="majorHAnsi" w:cstheme="majorHAnsi"/>
          <w:sz w:val="22"/>
          <w:szCs w:val="22"/>
        </w:rPr>
      </w:pPr>
    </w:p>
    <w:p w14:paraId="4E668C99">
      <w:pPr>
        <w:pStyle w:val="41"/>
        <w:tabs>
          <w:tab w:val="left" w:pos="240"/>
          <w:tab w:val="left" w:pos="480"/>
        </w:tabs>
        <w:spacing w:before="120" w:line="276" w:lineRule="auto"/>
        <w:ind w:left="0" w:leftChars="0" w:firstLine="0" w:firstLineChars="0"/>
        <w:rPr>
          <w:rFonts w:asciiTheme="majorHAnsi" w:hAnsiTheme="majorHAnsi" w:cstheme="majorHAnsi"/>
          <w:sz w:val="22"/>
          <w:szCs w:val="22"/>
        </w:rPr>
      </w:pPr>
      <w:bookmarkStart w:id="14" w:name="_Toc122606105"/>
      <w:r>
        <w:rPr>
          <w:rFonts w:asciiTheme="majorHAnsi" w:hAnsiTheme="majorHAnsi" w:cstheme="majorHAnsi"/>
          <w:sz w:val="22"/>
          <w:szCs w:val="22"/>
        </w:rPr>
        <w:t>DA APRESENTAÇÃO DA PROPOSTA E DOS DOCUMENTOS DE HABILITAÇÃO</w:t>
      </w:r>
      <w:bookmarkEnd w:id="14"/>
    </w:p>
    <w:p w14:paraId="7648A7E3"/>
    <w:p w14:paraId="7E4E355F">
      <w:pPr>
        <w:pStyle w:val="58"/>
        <w:shd w:val="clear" w:fill="F2B1BC"/>
        <w:tabs>
          <w:tab w:val="left" w:pos="480"/>
        </w:tabs>
        <w:spacing w:after="0"/>
        <w:ind w:left="0" w:leftChars="0" w:firstLine="0" w:firstLineChars="0"/>
        <w:rPr>
          <w:rFonts w:asciiTheme="majorHAnsi" w:hAnsiTheme="majorHAnsi" w:cstheme="majorHAnsi"/>
          <w:b/>
          <w:bCs/>
          <w:color w:val="auto"/>
          <w:sz w:val="22"/>
          <w:szCs w:val="22"/>
          <w:highlight w:val="none"/>
          <w:u w:val="single"/>
        </w:rPr>
      </w:pPr>
      <w:bookmarkStart w:id="15" w:name="_Ref113886867"/>
      <w:r>
        <w:rPr>
          <w:rFonts w:asciiTheme="majorHAnsi" w:hAnsiTheme="majorHAnsi" w:cstheme="majorHAnsi"/>
          <w:color w:val="auto"/>
          <w:sz w:val="22"/>
          <w:szCs w:val="22"/>
          <w:highlight w:val="none"/>
        </w:rPr>
        <w:t xml:space="preserve">Os licitantes encaminharão, exclusivamente por meio do sistema eletrônico, a </w:t>
      </w:r>
      <w:r>
        <w:rPr>
          <w:rFonts w:hint="default" w:asciiTheme="majorHAnsi" w:hAnsiTheme="majorHAnsi" w:cstheme="majorHAnsi"/>
          <w:color w:val="auto"/>
          <w:sz w:val="22"/>
          <w:szCs w:val="22"/>
          <w:highlight w:val="none"/>
          <w:lang w:val="pt-BR"/>
        </w:rPr>
        <w:t>ficha técnica descritiva/proposta inicial (</w:t>
      </w:r>
      <w:r>
        <w:rPr>
          <w:rFonts w:hint="default" w:ascii="Calibri" w:hAnsi="Calibri" w:cs="Arial"/>
          <w:b/>
          <w:bCs w:val="0"/>
          <w:sz w:val="22"/>
          <w:szCs w:val="22"/>
          <w:highlight w:val="none"/>
          <w:lang w:val="pt-BR"/>
        </w:rPr>
        <w:t xml:space="preserve">com quantidades, valores unitários, global, conforme </w:t>
      </w:r>
      <w:r>
        <w:rPr>
          <w:rFonts w:hint="default" w:asciiTheme="majorHAnsi" w:hAnsiTheme="majorHAnsi" w:cstheme="majorHAnsi"/>
          <w:b/>
          <w:bCs w:val="0"/>
          <w:color w:val="auto"/>
          <w:sz w:val="22"/>
          <w:szCs w:val="22"/>
          <w:highlight w:val="none"/>
          <w:lang w:val="pt-BR"/>
        </w:rPr>
        <w:t xml:space="preserve">modelo Anexo IX </w:t>
      </w:r>
      <w:r>
        <w:rPr>
          <w:rFonts w:hint="default" w:ascii="Calibri" w:hAnsi="Calibri" w:cs="Arial"/>
          <w:b/>
          <w:sz w:val="22"/>
          <w:szCs w:val="22"/>
          <w:highlight w:val="none"/>
          <w:lang w:val="pt-BR"/>
        </w:rPr>
        <w:t>)</w:t>
      </w:r>
      <w:r>
        <w:rPr>
          <w:rFonts w:asciiTheme="majorHAnsi" w:hAnsiTheme="majorHAnsi" w:cstheme="majorHAnsi"/>
          <w:color w:val="auto"/>
          <w:sz w:val="22"/>
          <w:szCs w:val="22"/>
          <w:highlight w:val="none"/>
        </w:rPr>
        <w:t xml:space="preserve"> com o preço</w:t>
      </w:r>
      <w:r>
        <w:rPr>
          <w:rFonts w:hint="default" w:asciiTheme="majorHAnsi" w:hAnsiTheme="majorHAnsi" w:cstheme="majorHAnsi"/>
          <w:color w:val="auto"/>
          <w:sz w:val="22"/>
          <w:szCs w:val="22"/>
          <w:highlight w:val="none"/>
          <w:lang w:val="pt-BR"/>
        </w:rPr>
        <w:t xml:space="preserve"> </w:t>
      </w:r>
      <w:r>
        <w:rPr>
          <w:rFonts w:hint="default" w:asciiTheme="majorHAnsi" w:hAnsiTheme="majorHAnsi" w:cstheme="majorHAnsi"/>
          <w:b/>
          <w:bCs/>
          <w:color w:val="auto"/>
          <w:sz w:val="22"/>
          <w:szCs w:val="22"/>
          <w:highlight w:val="none"/>
          <w:u w:val="single"/>
          <w:lang w:val="pt-BR"/>
        </w:rPr>
        <w:t>de acordo com</w:t>
      </w:r>
      <w:r>
        <w:rPr>
          <w:rFonts w:asciiTheme="majorHAnsi" w:hAnsiTheme="majorHAnsi" w:cstheme="majorHAnsi"/>
          <w:b/>
          <w:bCs/>
          <w:color w:val="auto"/>
          <w:sz w:val="22"/>
          <w:szCs w:val="22"/>
          <w:highlight w:val="none"/>
          <w:u w:val="single"/>
        </w:rPr>
        <w:t xml:space="preserve"> o critério de julgamento adotado neste Edital, </w:t>
      </w:r>
      <w:bookmarkEnd w:id="15"/>
      <w:r>
        <w:rPr>
          <w:rFonts w:asciiTheme="majorHAnsi" w:hAnsiTheme="majorHAnsi" w:cstheme="majorHAnsi"/>
          <w:b/>
          <w:bCs/>
          <w:color w:val="auto"/>
          <w:sz w:val="22"/>
          <w:szCs w:val="22"/>
          <w:highlight w:val="none"/>
          <w:u w:val="single"/>
        </w:rPr>
        <w:t>até o fim do recebimento de propostas.</w:t>
      </w:r>
    </w:p>
    <w:p w14:paraId="6D82FEC6">
      <w:pPr>
        <w:shd w:val="clear" w:fill="F2B1BC"/>
        <w:spacing w:line="300" w:lineRule="atLeast"/>
        <w:ind w:right="27" w:firstLine="708" w:firstLineChars="0"/>
        <w:jc w:val="both"/>
        <w:rPr>
          <w:rFonts w:ascii="Calibri" w:hAnsi="Calibri" w:cs="Arial"/>
          <w:b/>
          <w:sz w:val="22"/>
          <w:szCs w:val="22"/>
        </w:rPr>
      </w:pPr>
      <w:r>
        <w:rPr>
          <w:rFonts w:hint="default" w:ascii="Calibri" w:hAnsi="Calibri" w:cs="Arial"/>
          <w:b/>
          <w:sz w:val="22"/>
          <w:szCs w:val="22"/>
          <w:lang w:val="pt-BR"/>
        </w:rPr>
        <w:t xml:space="preserve">É </w:t>
      </w:r>
      <w:r>
        <w:rPr>
          <w:rFonts w:ascii="Calibri" w:hAnsi="Calibri" w:cs="Arial"/>
          <w:b/>
          <w:sz w:val="22"/>
          <w:szCs w:val="22"/>
        </w:rPr>
        <w:t>vedada a identificação do licitante, sob pena de desclassificação.</w:t>
      </w:r>
    </w:p>
    <w:p w14:paraId="100FB96E">
      <w:pPr>
        <w:pStyle w:val="58"/>
        <w:tabs>
          <w:tab w:val="left" w:pos="480"/>
        </w:tabs>
        <w:spacing w:after="0"/>
        <w:ind w:left="0" w:leftChars="0" w:firstLine="0" w:firstLineChars="0"/>
        <w:rPr>
          <w:rFonts w:asciiTheme="majorHAnsi" w:hAnsiTheme="majorHAnsi" w:cstheme="majorHAnsi"/>
          <w:color w:val="auto"/>
          <w:sz w:val="22"/>
          <w:szCs w:val="22"/>
        </w:rPr>
      </w:pPr>
      <w:bookmarkStart w:id="16" w:name="_Ref113968921"/>
      <w:r>
        <w:rPr>
          <w:rFonts w:eastAsia="Times New Roman" w:asciiTheme="majorHAnsi" w:hAnsiTheme="majorHAnsi" w:cstheme="majorHAnsi"/>
          <w:color w:val="auto"/>
          <w:sz w:val="22"/>
          <w:szCs w:val="22"/>
        </w:rPr>
        <w:t>No cadastramento da proposta inicial, o licitante declarará, em campo próprio do sistema, que:</w:t>
      </w:r>
      <w:bookmarkEnd w:id="16"/>
    </w:p>
    <w:p w14:paraId="6362181D">
      <w:pPr>
        <w:pStyle w:val="60"/>
        <w:keepNext w:val="0"/>
        <w:keepLines w:val="0"/>
        <w:pageBreakBefore w:val="0"/>
        <w:widowControl/>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color w:val="auto"/>
          <w:sz w:val="22"/>
          <w:szCs w:val="22"/>
        </w:rPr>
      </w:pPr>
      <w:r>
        <w:rPr>
          <w:rFonts w:asciiTheme="majorHAnsi" w:hAnsiTheme="majorHAnsi" w:cstheme="majorHAnsi"/>
          <w:color w:val="auto"/>
          <w:sz w:val="22"/>
          <w:szCs w:val="22"/>
        </w:rPr>
        <w:t>cumpre plenamente os requisitos de habilitação;</w:t>
      </w:r>
    </w:p>
    <w:p w14:paraId="76A85C2D">
      <w:pPr>
        <w:pStyle w:val="60"/>
        <w:keepNext w:val="0"/>
        <w:keepLines w:val="0"/>
        <w:pageBreakBefore w:val="0"/>
        <w:widowControl/>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color w:val="auto"/>
          <w:sz w:val="22"/>
          <w:szCs w:val="22"/>
        </w:rPr>
      </w:pPr>
      <w:r>
        <w:rPr>
          <w:rFonts w:asciiTheme="majorHAnsi" w:hAnsiTheme="majorHAnsi" w:cstheme="majorHAnsi"/>
          <w:color w:val="auto"/>
          <w:sz w:val="22"/>
          <w:szCs w:val="22"/>
        </w:rPr>
        <w:t>está ciente e concorda com as condições contidas no edital e seus anexos, bem como de que a proposta apresentada está em conformidade com o edital e que o valor ofertado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w:t>
      </w:r>
    </w:p>
    <w:p w14:paraId="795BBC4C">
      <w:pPr>
        <w:pStyle w:val="60"/>
        <w:keepNext w:val="0"/>
        <w:keepLines w:val="0"/>
        <w:pageBreakBefore w:val="0"/>
        <w:widowControl/>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color w:val="auto"/>
          <w:sz w:val="22"/>
          <w:szCs w:val="22"/>
        </w:rPr>
      </w:pPr>
      <w:r>
        <w:rPr>
          <w:rFonts w:asciiTheme="majorHAnsi" w:hAnsiTheme="majorHAnsi" w:cstheme="majorHAnsi"/>
          <w:color w:val="auto"/>
          <w:sz w:val="22"/>
          <w:szCs w:val="22"/>
        </w:rPr>
        <w:t xml:space="preserve">não emprega menor de 18 anos em trabalho noturno, perigoso ou insalubre e não emprega menor de 16 anos, salvo menor, a partir de 14 anos, na condição de aprendiz, nos termos do </w:t>
      </w:r>
      <w:r>
        <w:rPr>
          <w:rFonts w:asciiTheme="majorHAnsi" w:hAnsiTheme="majorHAnsi" w:cstheme="majorHAnsi"/>
          <w:sz w:val="22"/>
          <w:szCs w:val="22"/>
        </w:rPr>
        <w:t>artigo 7°, XXXIII, da Constituição</w:t>
      </w:r>
      <w:r>
        <w:rPr>
          <w:rFonts w:asciiTheme="majorHAnsi" w:hAnsiTheme="majorHAnsi" w:cstheme="majorHAnsi"/>
          <w:color w:val="auto"/>
          <w:sz w:val="22"/>
          <w:szCs w:val="22"/>
        </w:rPr>
        <w:t>;</w:t>
      </w:r>
    </w:p>
    <w:p w14:paraId="263AD6F3">
      <w:pPr>
        <w:pStyle w:val="60"/>
        <w:keepNext w:val="0"/>
        <w:keepLines w:val="0"/>
        <w:pageBreakBefore w:val="0"/>
        <w:widowControl/>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não possui, em sua cadeia produtiva, empregados executando trabalho degradante ou forçado, observando o disposto nos incisos III e IV do art. 1º e no inciso III do art. 5º da Constituição Federal;</w:t>
      </w:r>
    </w:p>
    <w:p w14:paraId="6F1A03FD">
      <w:pPr>
        <w:pStyle w:val="60"/>
        <w:keepNext w:val="0"/>
        <w:keepLines w:val="0"/>
        <w:pageBreakBefore w:val="0"/>
        <w:widowControl/>
        <w:kinsoku/>
        <w:wordWrap/>
        <w:overflowPunct/>
        <w:topLinePunct w:val="0"/>
        <w:autoSpaceDE/>
        <w:autoSpaceDN/>
        <w:bidi w:val="0"/>
        <w:adjustRightInd/>
        <w:snapToGrid/>
        <w:spacing w:before="0" w:after="361" w:afterLines="100" w:line="240" w:lineRule="auto"/>
        <w:ind w:left="0" w:firstLine="567"/>
        <w:textAlignment w:val="auto"/>
        <w:rPr>
          <w:rFonts w:asciiTheme="majorHAnsi" w:hAnsiTheme="majorHAnsi" w:cstheme="majorHAnsi"/>
          <w:color w:val="auto"/>
          <w:sz w:val="22"/>
          <w:szCs w:val="22"/>
        </w:rPr>
      </w:pPr>
      <w:r>
        <w:rPr>
          <w:rFonts w:asciiTheme="majorHAnsi" w:hAnsiTheme="majorHAnsi" w:cstheme="majorHAnsi"/>
          <w:color w:val="auto"/>
          <w:sz w:val="22"/>
          <w:szCs w:val="22"/>
        </w:rPr>
        <w:t>cumpre as exigências de reserva de cargos para pessoa com deficiência e para reabilitado da Previdência Social, previstas no art. 93 da Lei 8.213/1991.</w:t>
      </w:r>
    </w:p>
    <w:p w14:paraId="33DE7222">
      <w:pPr>
        <w:pStyle w:val="58"/>
        <w:keepNext w:val="0"/>
        <w:keepLines w:val="0"/>
        <w:pageBreakBefore w:val="0"/>
        <w:widowControl/>
        <w:tabs>
          <w:tab w:val="left" w:pos="240"/>
          <w:tab w:val="left" w:pos="480"/>
        </w:tabs>
        <w:kinsoku/>
        <w:wordWrap/>
        <w:overflowPunct/>
        <w:topLinePunct w:val="0"/>
        <w:autoSpaceDE/>
        <w:autoSpaceDN/>
        <w:bidi w:val="0"/>
        <w:adjustRightInd/>
        <w:snapToGrid/>
        <w:spacing w:after="361" w:afterLines="100"/>
        <w:ind w:left="0" w:leftChars="0" w:firstLine="0" w:firstLineChars="0"/>
        <w:textAlignment w:val="auto"/>
        <w:rPr>
          <w:rFonts w:asciiTheme="majorHAnsi" w:hAnsiTheme="majorHAnsi" w:cstheme="majorHAnsi"/>
          <w:sz w:val="22"/>
          <w:szCs w:val="22"/>
        </w:rPr>
      </w:pPr>
      <w:r>
        <w:rPr>
          <w:rFonts w:asciiTheme="majorHAnsi" w:hAnsiTheme="majorHAnsi" w:cstheme="majorHAnsi"/>
          <w:sz w:val="22"/>
          <w:szCs w:val="22"/>
        </w:rPr>
        <w:t>O licitante organizado em cooperativa deverá declarar, ainda, em campo próprio do sistema eletrônico, que cumpre os requisitos estabelecidos no artigo 16 da Lei nº 14.133, de 2021.</w:t>
      </w:r>
    </w:p>
    <w:p w14:paraId="0B8EBC22">
      <w:pPr>
        <w:pStyle w:val="58"/>
        <w:tabs>
          <w:tab w:val="left" w:pos="240"/>
          <w:tab w:val="left" w:pos="480"/>
        </w:tabs>
        <w:spacing w:after="0"/>
        <w:ind w:left="0" w:leftChars="0" w:firstLine="0" w:firstLineChars="0"/>
        <w:rPr>
          <w:rFonts w:hint="default" w:ascii="Calibri" w:hAnsi="Calibri" w:cs="Calibri"/>
          <w:sz w:val="22"/>
          <w:szCs w:val="22"/>
        </w:rPr>
      </w:pPr>
      <w:bookmarkStart w:id="17" w:name="_Ref117000019"/>
      <w:r>
        <w:rPr>
          <w:rFonts w:asciiTheme="majorHAnsi" w:hAnsiTheme="majorHAnsi" w:cstheme="majorHAnsi"/>
          <w:sz w:val="22"/>
          <w:szCs w:val="22"/>
        </w:rPr>
        <w:t xml:space="preserve">O </w:t>
      </w:r>
      <w:r>
        <w:rPr>
          <w:rFonts w:hint="default" w:ascii="Calibri" w:hAnsi="Calibri" w:cs="Calibri"/>
          <w:sz w:val="22"/>
          <w:szCs w:val="22"/>
        </w:rPr>
        <w:t>fornecedor enquadrado como microempresa, empresa de pequeno porte ou sociedade cooperativa deverá declarar, ainda, em campo próprio do sistema eletrônico, que cumpre os requisitos estabelecidos no artigo 3° da Lei Complementar nº 123, de 2006, estando apto a usufruir do tratamento favorecido estabelecido em seus arts. 42 a 49, observado o disposto nos §§ 1º ao 3º do art. 4º, da Lei n.º 14.133, de 2021.</w:t>
      </w:r>
      <w:bookmarkEnd w:id="17"/>
    </w:p>
    <w:p w14:paraId="76D7D991">
      <w:pPr>
        <w:pStyle w:val="60"/>
        <w:keepNext w:val="0"/>
        <w:keepLines w:val="0"/>
        <w:pageBreakBefore w:val="0"/>
        <w:widowControl/>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no item exclusivo para participação de microempresas e empresas de pequeno porte, a assinalação do campo</w:t>
      </w:r>
      <w:r>
        <w:rPr>
          <w:rFonts w:asciiTheme="majorHAnsi" w:hAnsiTheme="majorHAnsi" w:cstheme="majorHAnsi"/>
          <w:color w:val="auto"/>
          <w:sz w:val="22"/>
          <w:szCs w:val="22"/>
        </w:rPr>
        <w:t xml:space="preserve"> “nenhuma”</w:t>
      </w:r>
      <w:r>
        <w:rPr>
          <w:rFonts w:asciiTheme="majorHAnsi" w:hAnsiTheme="majorHAnsi" w:cstheme="majorHAnsi"/>
          <w:sz w:val="22"/>
          <w:szCs w:val="22"/>
        </w:rPr>
        <w:t>, impedirá o prosseguimento no certame, para aquele item;</w:t>
      </w:r>
    </w:p>
    <w:p w14:paraId="3EDD4475">
      <w:pPr>
        <w:pStyle w:val="60"/>
        <w:keepNext w:val="0"/>
        <w:keepLines w:val="0"/>
        <w:pageBreakBefore w:val="0"/>
        <w:widowControl/>
        <w:kinsoku/>
        <w:wordWrap/>
        <w:overflowPunct/>
        <w:topLinePunct w:val="0"/>
        <w:autoSpaceDE/>
        <w:autoSpaceDN/>
        <w:bidi w:val="0"/>
        <w:adjustRightInd/>
        <w:snapToGrid/>
        <w:spacing w:before="0" w:after="361" w:afterLines="10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 xml:space="preserve">nos itens em que a participação não for exclusiva para microempresas e empresas de pequeno porte, a assinalação do campo </w:t>
      </w:r>
      <w:r>
        <w:rPr>
          <w:rFonts w:asciiTheme="majorHAnsi" w:hAnsiTheme="majorHAnsi" w:cstheme="majorHAnsi"/>
          <w:color w:val="auto"/>
          <w:sz w:val="22"/>
          <w:szCs w:val="22"/>
        </w:rPr>
        <w:t>“nenhuma”</w:t>
      </w:r>
      <w:r>
        <w:rPr>
          <w:rFonts w:asciiTheme="majorHAnsi" w:hAnsiTheme="majorHAnsi" w:cstheme="majorHAnsi"/>
          <w:sz w:val="22"/>
          <w:szCs w:val="22"/>
        </w:rPr>
        <w:t>, apenas produzirá o efeito de o licitante não ter direito ao tratamento favorecido previsto na Lei Complementar nº 123, de 2006, mesmo que microempresa, empresa de pequeno porte ou sociedade cooperativa.</w:t>
      </w:r>
    </w:p>
    <w:p w14:paraId="79215C0E">
      <w:pPr>
        <w:pStyle w:val="58"/>
        <w:keepNext w:val="0"/>
        <w:keepLines w:val="0"/>
        <w:pageBreakBefore w:val="0"/>
        <w:widowControl/>
        <w:tabs>
          <w:tab w:val="left" w:pos="480"/>
        </w:tabs>
        <w:kinsoku/>
        <w:wordWrap/>
        <w:overflowPunct/>
        <w:topLinePunct w:val="0"/>
        <w:autoSpaceDE/>
        <w:autoSpaceDN/>
        <w:bidi w:val="0"/>
        <w:adjustRightInd/>
        <w:snapToGrid/>
        <w:spacing w:after="361" w:afterLines="100"/>
        <w:ind w:left="0" w:leftChars="0" w:firstLine="0" w:firstLineChars="0"/>
        <w:textAlignment w:val="auto"/>
        <w:rPr>
          <w:rFonts w:asciiTheme="majorHAnsi" w:hAnsiTheme="majorHAnsi" w:cstheme="majorHAnsi"/>
          <w:color w:val="auto"/>
          <w:sz w:val="22"/>
          <w:szCs w:val="22"/>
        </w:rPr>
      </w:pPr>
      <w:r>
        <w:rPr>
          <w:rFonts w:asciiTheme="majorHAnsi" w:hAnsiTheme="majorHAnsi" w:cstheme="majorHAnsi"/>
          <w:color w:val="auto"/>
          <w:sz w:val="22"/>
          <w:szCs w:val="22"/>
        </w:rPr>
        <w:t xml:space="preserve">A falsidade da declaração de que trata os itens 3.2 ao 3.4 sujeitará o licitante às sanções previstas na </w:t>
      </w:r>
      <w:r>
        <w:rPr>
          <w:rFonts w:asciiTheme="majorHAnsi" w:hAnsiTheme="majorHAnsi" w:cstheme="majorHAnsi"/>
          <w:sz w:val="22"/>
          <w:szCs w:val="22"/>
        </w:rPr>
        <w:t>Lei nº 14.133, de 2021</w:t>
      </w:r>
      <w:r>
        <w:rPr>
          <w:rFonts w:asciiTheme="majorHAnsi" w:hAnsiTheme="majorHAnsi" w:cstheme="majorHAnsi"/>
          <w:color w:val="auto"/>
          <w:sz w:val="22"/>
          <w:szCs w:val="22"/>
        </w:rPr>
        <w:t>, e neste Edital.</w:t>
      </w:r>
    </w:p>
    <w:p w14:paraId="1B532F82">
      <w:pPr>
        <w:pStyle w:val="58"/>
        <w:tabs>
          <w:tab w:val="left" w:pos="480"/>
        </w:tabs>
        <w:spacing w:after="0"/>
        <w:ind w:left="0" w:leftChars="0" w:firstLine="0" w:firstLineChars="0"/>
        <w:rPr>
          <w:rFonts w:asciiTheme="majorHAnsi" w:hAnsiTheme="majorHAnsi" w:cstheme="majorHAnsi"/>
          <w:color w:val="auto"/>
          <w:sz w:val="22"/>
          <w:szCs w:val="22"/>
        </w:rPr>
      </w:pPr>
      <w:r>
        <w:rPr>
          <w:rFonts w:asciiTheme="majorHAnsi" w:hAnsiTheme="majorHAnsi" w:cstheme="majorHAnsi"/>
          <w:color w:val="auto"/>
          <w:sz w:val="22"/>
          <w:szCs w:val="22"/>
        </w:rPr>
        <w:t xml:space="preserve">Não haverá ordem de classificação na etapa de apresentação da proposta e dos documentos de habilitação </w:t>
      </w:r>
      <w:r>
        <w:rPr>
          <w:rFonts w:hint="default" w:asciiTheme="majorHAnsi" w:hAnsiTheme="majorHAnsi" w:cstheme="majorHAnsi"/>
          <w:color w:val="auto"/>
          <w:sz w:val="22"/>
          <w:szCs w:val="22"/>
          <w:lang w:val="pt-BR"/>
        </w:rPr>
        <w:t xml:space="preserve">eventualmente juntados </w:t>
      </w:r>
      <w:r>
        <w:rPr>
          <w:rFonts w:asciiTheme="majorHAnsi" w:hAnsiTheme="majorHAnsi" w:cstheme="majorHAnsi"/>
          <w:color w:val="auto"/>
          <w:sz w:val="22"/>
          <w:szCs w:val="22"/>
        </w:rPr>
        <w:t>pelo licitante</w:t>
      </w:r>
      <w:r>
        <w:rPr>
          <w:rFonts w:hint="default" w:asciiTheme="majorHAnsi" w:hAnsiTheme="majorHAnsi" w:cstheme="majorHAnsi"/>
          <w:color w:val="auto"/>
          <w:sz w:val="22"/>
          <w:szCs w:val="22"/>
          <w:lang w:val="pt-BR"/>
        </w:rPr>
        <w:t xml:space="preserve"> nesta etapa</w:t>
      </w:r>
      <w:r>
        <w:rPr>
          <w:rFonts w:asciiTheme="majorHAnsi" w:hAnsiTheme="majorHAnsi" w:cstheme="majorHAnsi"/>
          <w:color w:val="auto"/>
          <w:sz w:val="22"/>
          <w:szCs w:val="22"/>
        </w:rPr>
        <w:t>, o que ocorrerá somente após os procedimentos de abertura da sessão pública e da fase de envio de lances.</w:t>
      </w:r>
    </w:p>
    <w:p w14:paraId="2479D772">
      <w:pPr>
        <w:pStyle w:val="58"/>
        <w:tabs>
          <w:tab w:val="left" w:pos="480"/>
        </w:tabs>
        <w:spacing w:after="0"/>
        <w:ind w:left="0" w:leftChars="0" w:firstLine="0" w:firstLineChars="0"/>
        <w:rPr>
          <w:rFonts w:asciiTheme="majorHAnsi" w:hAnsiTheme="majorHAnsi" w:cstheme="majorHAnsi"/>
          <w:color w:val="auto"/>
          <w:sz w:val="22"/>
          <w:szCs w:val="22"/>
        </w:rPr>
      </w:pPr>
      <w:r>
        <w:rPr>
          <w:rFonts w:asciiTheme="majorHAnsi" w:hAnsiTheme="majorHAnsi" w:cstheme="majorHAnsi"/>
          <w:color w:val="auto"/>
          <w:sz w:val="22"/>
          <w:szCs w:val="22"/>
        </w:rPr>
        <w:t>Serão disponibilizados para acesso público os documentos que compõem a proposta dos licitantes convocados para apresentação de propostas, a partir da fase de julgamento e aceitação das propostas.</w:t>
      </w:r>
    </w:p>
    <w:p w14:paraId="7756F078">
      <w:pPr>
        <w:pStyle w:val="58"/>
        <w:tabs>
          <w:tab w:val="left" w:pos="480"/>
        </w:tabs>
        <w:spacing w:after="0"/>
        <w:ind w:left="0" w:leftChars="0" w:firstLine="0" w:firstLineChars="0"/>
        <w:rPr>
          <w:rFonts w:eastAsia="Times New Roman" w:asciiTheme="majorHAnsi" w:hAnsiTheme="majorHAnsi" w:cstheme="majorHAnsi"/>
          <w:color w:val="auto"/>
          <w:sz w:val="22"/>
          <w:szCs w:val="22"/>
        </w:rPr>
      </w:pPr>
      <w:r>
        <w:rPr>
          <w:rFonts w:eastAsia="Times New Roman" w:asciiTheme="majorHAnsi" w:hAnsiTheme="majorHAnsi" w:cstheme="majorHAnsi"/>
          <w:color w:val="auto"/>
          <w:sz w:val="22"/>
          <w:szCs w:val="22"/>
        </w:rPr>
        <w:t xml:space="preserve">Caberá ao licitante interessado em participar da licitação </w:t>
      </w:r>
      <w:r>
        <w:rPr>
          <w:rFonts w:asciiTheme="majorHAnsi" w:hAnsiTheme="majorHAnsi" w:cstheme="majorHAnsi"/>
          <w:color w:val="auto"/>
          <w:sz w:val="22"/>
          <w:szCs w:val="22"/>
        </w:rPr>
        <w:t>acompanhar as operações no sistema eletrônico durante o processo licitatório e se responsabilizar pelo ônus decorrente da perda de negócios diante da inobservância de mensagens emitidas pela Administração ou de sua desconexão.</w:t>
      </w:r>
    </w:p>
    <w:p w14:paraId="74E1132F">
      <w:pPr>
        <w:pStyle w:val="58"/>
        <w:tabs>
          <w:tab w:val="left" w:pos="480"/>
        </w:tabs>
        <w:spacing w:after="0"/>
        <w:ind w:left="0" w:leftChars="0" w:firstLine="0" w:firstLineChars="0"/>
        <w:rPr>
          <w:rFonts w:asciiTheme="majorHAnsi" w:hAnsiTheme="majorHAnsi" w:cstheme="majorHAnsi"/>
          <w:sz w:val="22"/>
          <w:szCs w:val="22"/>
        </w:rPr>
      </w:pPr>
      <w:r>
        <w:rPr>
          <w:rFonts w:eastAsia="Times New Roman" w:asciiTheme="majorHAnsi" w:hAnsiTheme="majorHAnsi" w:cstheme="majorHAnsi"/>
          <w:color w:val="auto"/>
          <w:sz w:val="22"/>
          <w:szCs w:val="22"/>
        </w:rPr>
        <w:t xml:space="preserve">O licitante deverá </w:t>
      </w:r>
      <w:r>
        <w:rPr>
          <w:rFonts w:asciiTheme="majorHAnsi" w:hAnsiTheme="majorHAnsi" w:cstheme="majorHAnsi"/>
          <w:color w:val="auto"/>
          <w:sz w:val="22"/>
          <w:szCs w:val="22"/>
        </w:rPr>
        <w:t>comunicar imediatamente ao provedor do sistema qualquer acontecimento que possa comprometer o sigilo ou a segurança, para providências.</w:t>
      </w:r>
    </w:p>
    <w:p w14:paraId="7ECFF629">
      <w:pPr>
        <w:pStyle w:val="58"/>
        <w:numPr>
          <w:ilvl w:val="1"/>
          <w:numId w:val="0"/>
        </w:numPr>
        <w:tabs>
          <w:tab w:val="left" w:pos="480"/>
        </w:tabs>
        <w:spacing w:after="0"/>
        <w:ind w:leftChars="0"/>
        <w:rPr>
          <w:rFonts w:asciiTheme="majorHAnsi" w:hAnsiTheme="majorHAnsi" w:cstheme="majorHAnsi"/>
          <w:sz w:val="22"/>
          <w:szCs w:val="22"/>
        </w:rPr>
      </w:pPr>
    </w:p>
    <w:p w14:paraId="7AB8255D">
      <w:pPr>
        <w:pStyle w:val="41"/>
        <w:tabs>
          <w:tab w:val="left" w:pos="240"/>
        </w:tabs>
        <w:spacing w:before="120" w:line="276" w:lineRule="auto"/>
        <w:ind w:left="0" w:leftChars="0" w:firstLine="0" w:firstLineChars="0"/>
        <w:rPr>
          <w:rFonts w:asciiTheme="majorHAnsi" w:hAnsiTheme="majorHAnsi" w:cstheme="majorHAnsi"/>
          <w:sz w:val="22"/>
          <w:szCs w:val="22"/>
        </w:rPr>
      </w:pPr>
      <w:bookmarkStart w:id="18" w:name="_Toc122606106"/>
      <w:r>
        <w:rPr>
          <w:rFonts w:asciiTheme="majorHAnsi" w:hAnsiTheme="majorHAnsi" w:cstheme="majorHAnsi"/>
          <w:sz w:val="22"/>
          <w:szCs w:val="22"/>
        </w:rPr>
        <w:t xml:space="preserve">DO PREENCHIMENTO E ENVIO DA PROPOSTA </w:t>
      </w:r>
      <w:bookmarkEnd w:id="18"/>
    </w:p>
    <w:p w14:paraId="43AEBF2A"/>
    <w:p w14:paraId="4B9A53CF">
      <w:pPr>
        <w:pStyle w:val="60"/>
        <w:numPr>
          <w:ilvl w:val="0"/>
          <w:numId w:val="0"/>
        </w:numPr>
        <w:tabs>
          <w:tab w:val="left" w:pos="240"/>
        </w:tabs>
        <w:spacing w:after="0"/>
        <w:ind w:left="0" w:leftChars="0" w:firstLine="0" w:firstLineChars="0"/>
        <w:rPr>
          <w:rFonts w:hint="default" w:ascii="Calibri" w:hAnsi="Calibri" w:cs="Calibri"/>
          <w:color w:val="000000" w:themeColor="text1"/>
          <w:sz w:val="22"/>
          <w:szCs w:val="22"/>
          <w:lang w:val="pt-BR"/>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4.1 As licitações aptas para o recebimento de propostas estão disponíveis na Plataforma BBMNET no menu </w:t>
      </w:r>
      <w:r>
        <w:rPr>
          <w:rFonts w:hint="default" w:ascii="Calibri" w:hAnsi="Calibri" w:cs="Calibri"/>
          <w:b/>
          <w:bCs/>
          <w:color w:val="000000" w:themeColor="text1"/>
          <w:sz w:val="22"/>
          <w:szCs w:val="22"/>
          <w14:textFill>
            <w14:solidFill>
              <w14:schemeClr w14:val="tx1"/>
            </w14:solidFill>
          </w14:textFill>
        </w:rPr>
        <w:t>“Sala de Disputa”,</w:t>
      </w:r>
      <w:r>
        <w:rPr>
          <w:rFonts w:hint="default" w:ascii="Calibri" w:hAnsi="Calibri" w:cs="Calibri"/>
          <w:color w:val="000000" w:themeColor="text1"/>
          <w:sz w:val="22"/>
          <w:szCs w:val="22"/>
          <w14:textFill>
            <w14:solidFill>
              <w14:schemeClr w14:val="tx1"/>
            </w14:solidFill>
          </w14:textFill>
        </w:rPr>
        <w:t xml:space="preserve"> no campo das licitações na coluna (menu) da etapa </w:t>
      </w:r>
      <w:r>
        <w:rPr>
          <w:rFonts w:hint="default" w:ascii="Calibri" w:hAnsi="Calibri" w:cs="Calibri"/>
          <w:b/>
          <w:bCs/>
          <w:color w:val="000000" w:themeColor="text1"/>
          <w:sz w:val="22"/>
          <w:szCs w:val="22"/>
          <w14:textFill>
            <w14:solidFill>
              <w14:schemeClr w14:val="tx1"/>
            </w14:solidFill>
          </w14:textFill>
        </w:rPr>
        <w:t>“Aberto para receber propostas”</w:t>
      </w:r>
      <w:r>
        <w:rPr>
          <w:rFonts w:hint="default" w:ascii="Calibri" w:hAnsi="Calibri" w:cs="Calibri"/>
          <w:color w:val="000000" w:themeColor="text1"/>
          <w:sz w:val="22"/>
          <w:szCs w:val="22"/>
          <w14:textFill>
            <w14:solidFill>
              <w14:schemeClr w14:val="tx1"/>
            </w14:solidFill>
          </w14:textFill>
        </w:rPr>
        <w:t xml:space="preserve">. </w:t>
      </w:r>
      <w:r>
        <w:rPr>
          <w:rFonts w:hint="default" w:ascii="Calibri" w:hAnsi="Calibri" w:cs="Calibri"/>
          <w:color w:val="000000" w:themeColor="text1"/>
          <w:sz w:val="22"/>
          <w:szCs w:val="22"/>
          <w:lang w:val="pt-BR"/>
          <w14:textFill>
            <w14:solidFill>
              <w14:schemeClr w14:val="tx1"/>
            </w14:solidFill>
          </w14:textFill>
        </w:rPr>
        <w:t>(FASE 02)</w:t>
      </w:r>
    </w:p>
    <w:p w14:paraId="3AFDD5C1">
      <w:pPr>
        <w:pStyle w:val="60"/>
        <w:keepNext w:val="0"/>
        <w:keepLines w:val="0"/>
        <w:pageBreakBefore w:val="0"/>
        <w:widowControl/>
        <w:tabs>
          <w:tab w:val="left" w:pos="567"/>
          <w:tab w:val="left" w:pos="960"/>
        </w:tabs>
        <w:kinsoku/>
        <w:wordWrap/>
        <w:overflowPunct/>
        <w:topLinePunct w:val="0"/>
        <w:autoSpaceDE/>
        <w:autoSpaceDN/>
        <w:bidi w:val="0"/>
        <w:adjustRightInd/>
        <w:snapToGrid/>
        <w:spacing w:before="0" w:after="0" w:line="240" w:lineRule="auto"/>
        <w:ind w:left="0" w:firstLine="567"/>
        <w:textAlignment w:val="auto"/>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O licitante interessado poderá utilizar filtros de buscas e selecionar o lote/item de interesse e, posteriormente preencher os campos exigidos no sistema e finalizar no comando “enviar proposta”.</w:t>
      </w:r>
    </w:p>
    <w:p w14:paraId="5969F087">
      <w:pPr>
        <w:pStyle w:val="60"/>
        <w:keepNext w:val="0"/>
        <w:keepLines w:val="0"/>
        <w:pageBreakBefore w:val="0"/>
        <w:widowControl/>
        <w:tabs>
          <w:tab w:val="left" w:pos="567"/>
        </w:tabs>
        <w:kinsoku/>
        <w:wordWrap/>
        <w:overflowPunct/>
        <w:topLinePunct w:val="0"/>
        <w:autoSpaceDE/>
        <w:autoSpaceDN/>
        <w:bidi w:val="0"/>
        <w:adjustRightInd/>
        <w:snapToGrid/>
        <w:spacing w:before="0" w:line="240" w:lineRule="auto"/>
        <w:ind w:left="5" w:leftChars="0" w:firstLine="562" w:firstLineChars="0"/>
        <w:textAlignment w:val="auto"/>
        <w:rPr>
          <w:rFonts w:hint="default" w:ascii="Calibri" w:hAnsi="Calibri" w:cs="Calibri"/>
          <w:sz w:val="22"/>
          <w:szCs w:val="22"/>
        </w:rPr>
      </w:pPr>
      <w:r>
        <w:rPr>
          <w:rFonts w:hint="default" w:ascii="Calibri" w:hAnsi="Calibri" w:cs="Calibri"/>
          <w:sz w:val="22"/>
          <w:szCs w:val="22"/>
        </w:rPr>
        <w:t xml:space="preserve">O licitante deverá enviar a sua proposta </w:t>
      </w:r>
      <w:r>
        <w:rPr>
          <w:rFonts w:hint="default" w:ascii="Calibri" w:hAnsi="Calibri" w:cs="Calibri"/>
          <w:sz w:val="22"/>
          <w:szCs w:val="22"/>
          <w:lang w:val="pt-BR"/>
        </w:rPr>
        <w:t xml:space="preserve">inicial </w:t>
      </w:r>
      <w:r>
        <w:rPr>
          <w:rFonts w:hint="default" w:ascii="Calibri" w:hAnsi="Calibri" w:cs="Calibri"/>
          <w:sz w:val="22"/>
          <w:szCs w:val="22"/>
        </w:rPr>
        <w:t xml:space="preserve">mediante o preenchimento prévio das informações exigidas no Sistema.  </w:t>
      </w:r>
    </w:p>
    <w:p w14:paraId="61CD0488">
      <w:pPr>
        <w:pStyle w:val="60"/>
        <w:keepNext w:val="0"/>
        <w:keepLines w:val="0"/>
        <w:pageBreakBefore w:val="0"/>
        <w:widowControl/>
        <w:numPr>
          <w:ilvl w:val="0"/>
          <w:numId w:val="0"/>
        </w:numPr>
        <w:tabs>
          <w:tab w:val="left" w:pos="567"/>
        </w:tabs>
        <w:kinsoku/>
        <w:wordWrap/>
        <w:overflowPunct/>
        <w:topLinePunct w:val="0"/>
        <w:autoSpaceDE/>
        <w:autoSpaceDN/>
        <w:bidi w:val="0"/>
        <w:adjustRightInd/>
        <w:snapToGrid/>
        <w:spacing w:before="0" w:after="0" w:line="240" w:lineRule="auto"/>
        <w:ind w:firstLine="567"/>
        <w:textAlignment w:val="auto"/>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4.1.3    O Acesso para participar das licitações está condicionado ao cadastro prévio do interessado na Plataforma BBMNET Licitações.      </w:t>
      </w:r>
    </w:p>
    <w:p w14:paraId="22F69D04">
      <w:pPr>
        <w:pStyle w:val="58"/>
        <w:tabs>
          <w:tab w:val="left" w:pos="480"/>
        </w:tabs>
        <w:spacing w:after="0"/>
        <w:ind w:left="0" w:leftChars="0" w:firstLine="0" w:firstLineChars="0"/>
        <w:rPr>
          <w:rFonts w:asciiTheme="majorHAnsi" w:hAnsiTheme="majorHAnsi" w:cstheme="majorHAnsi"/>
          <w:color w:val="auto"/>
          <w:sz w:val="22"/>
          <w:szCs w:val="22"/>
        </w:rPr>
      </w:pPr>
      <w:r>
        <w:rPr>
          <w:rFonts w:asciiTheme="majorHAnsi" w:hAnsiTheme="majorHAnsi" w:cstheme="majorHAnsi"/>
          <w:color w:val="auto"/>
          <w:sz w:val="22"/>
          <w:szCs w:val="22"/>
        </w:rPr>
        <w:t>Todas as especificações do objeto contidas na proposta vinculam o licitante.</w:t>
      </w:r>
    </w:p>
    <w:p w14:paraId="0E8D9167">
      <w:pPr>
        <w:pStyle w:val="58"/>
        <w:tabs>
          <w:tab w:val="left" w:pos="480"/>
        </w:tabs>
        <w:spacing w:after="0"/>
        <w:ind w:left="0" w:leftChars="0" w:firstLine="0" w:firstLineChars="0"/>
        <w:rPr>
          <w:rFonts w:asciiTheme="majorHAnsi" w:hAnsiTheme="majorHAnsi" w:cstheme="majorHAnsi"/>
          <w:color w:val="auto"/>
          <w:sz w:val="22"/>
          <w:szCs w:val="22"/>
        </w:rPr>
      </w:pPr>
      <w:r>
        <w:rPr>
          <w:rFonts w:asciiTheme="majorHAnsi" w:hAnsiTheme="majorHAnsi" w:cstheme="majorHAnsi"/>
          <w:color w:val="auto"/>
          <w:sz w:val="22"/>
          <w:szCs w:val="22"/>
        </w:rPr>
        <w:t>Nos valores propostos estarão inclusos todos os custos operacionais, encargos previdenciários, trabalhistas, tributários, comerciais e quaisquer outros que incidam direta ou indiretamente na execução do objeto.</w:t>
      </w:r>
    </w:p>
    <w:p w14:paraId="1A57FB21">
      <w:pPr>
        <w:pStyle w:val="58"/>
        <w:tabs>
          <w:tab w:val="left" w:pos="480"/>
        </w:tabs>
        <w:spacing w:after="0"/>
        <w:ind w:left="0" w:leftChars="0" w:firstLine="0" w:firstLineChars="0"/>
        <w:rPr>
          <w:rFonts w:asciiTheme="majorHAnsi" w:hAnsiTheme="majorHAnsi" w:cstheme="majorHAnsi"/>
          <w:color w:val="auto"/>
          <w:sz w:val="22"/>
          <w:szCs w:val="22"/>
        </w:rPr>
      </w:pPr>
      <w:r>
        <w:rPr>
          <w:rFonts w:asciiTheme="majorHAnsi" w:hAnsiTheme="majorHAnsi" w:cstheme="majorHAnsi"/>
          <w:color w:val="auto"/>
          <w:sz w:val="22"/>
          <w:szCs w:val="22"/>
        </w:rPr>
        <w:t xml:space="preserve">Os preços ofertados, tanto na proposta inicial, quanto na etapa de lances, serão de exclusiva responsabilidade do licitante. </w:t>
      </w:r>
    </w:p>
    <w:p w14:paraId="7D076C27">
      <w:pPr>
        <w:pStyle w:val="58"/>
        <w:tabs>
          <w:tab w:val="left" w:pos="480"/>
        </w:tabs>
        <w:spacing w:after="0"/>
        <w:ind w:left="0" w:leftChars="0" w:firstLine="0" w:firstLineChars="0"/>
        <w:rPr>
          <w:rFonts w:asciiTheme="majorHAnsi" w:hAnsiTheme="majorHAnsi" w:cstheme="majorHAnsi"/>
          <w:color w:val="auto"/>
          <w:sz w:val="22"/>
          <w:szCs w:val="22"/>
        </w:rPr>
      </w:pPr>
      <w:r>
        <w:rPr>
          <w:rFonts w:asciiTheme="majorHAnsi" w:hAnsiTheme="majorHAnsi" w:cstheme="majorHAnsi"/>
          <w:color w:val="auto"/>
          <w:sz w:val="22"/>
          <w:szCs w:val="22"/>
        </w:rPr>
        <w:t xml:space="preserve">Se o regime tributário da empresa implicar o recolhimento de tributos em percentuais variáveis, a cotação adequada será a que corresponde à média dos efetivos recolhimentos da empresa nos últimos doze meses. </w:t>
      </w:r>
    </w:p>
    <w:p w14:paraId="22F1CAD1">
      <w:pPr>
        <w:pStyle w:val="58"/>
        <w:tabs>
          <w:tab w:val="left" w:pos="480"/>
        </w:tabs>
        <w:spacing w:after="0"/>
        <w:ind w:left="0" w:leftChars="0" w:firstLine="0" w:firstLineChars="0"/>
        <w:rPr>
          <w:rFonts w:asciiTheme="majorHAnsi" w:hAnsiTheme="majorHAnsi" w:cstheme="majorHAnsi"/>
          <w:color w:val="auto"/>
          <w:sz w:val="22"/>
          <w:szCs w:val="22"/>
        </w:rPr>
      </w:pPr>
      <w:r>
        <w:rPr>
          <w:rFonts w:asciiTheme="majorHAnsi" w:hAnsiTheme="majorHAnsi" w:cstheme="majorHAnsi"/>
          <w:color w:val="auto"/>
          <w:sz w:val="22"/>
          <w:szCs w:val="22"/>
        </w:rPr>
        <w:t>Independentemente do percentual de tributo inserido na planilha, no pagamento serão retidos na fonte os percentuais estabelecidos na legislação vigente.</w:t>
      </w:r>
    </w:p>
    <w:p w14:paraId="1FFC8F40">
      <w:pPr>
        <w:pStyle w:val="58"/>
        <w:tabs>
          <w:tab w:val="left" w:pos="480"/>
        </w:tabs>
        <w:spacing w:after="0"/>
        <w:ind w:left="0" w:leftChars="0" w:firstLine="0" w:firstLineChars="0"/>
        <w:rPr>
          <w:rFonts w:asciiTheme="majorHAnsi" w:hAnsiTheme="majorHAnsi" w:cstheme="majorHAnsi"/>
          <w:color w:val="auto"/>
          <w:sz w:val="22"/>
          <w:szCs w:val="22"/>
          <w:highlight w:val="none"/>
          <w:shd w:val="clear" w:fill="81F58F"/>
        </w:rPr>
      </w:pPr>
      <w:r>
        <w:rPr>
          <w:rFonts w:asciiTheme="majorHAnsi" w:hAnsiTheme="majorHAnsi" w:cstheme="majorHAnsi"/>
          <w:color w:val="auto"/>
          <w:sz w:val="22"/>
          <w:szCs w:val="22"/>
          <w:highlight w:val="none"/>
        </w:rPr>
        <w:t>Os licitantes poderão retirar ou substituir a proposta</w:t>
      </w:r>
      <w:r>
        <w:rPr>
          <w:rFonts w:hint="default" w:asciiTheme="majorHAnsi" w:hAnsiTheme="majorHAnsi" w:cstheme="majorHAnsi"/>
          <w:color w:val="auto"/>
          <w:sz w:val="22"/>
          <w:szCs w:val="22"/>
          <w:highlight w:val="none"/>
          <w:lang w:val="pt-BR"/>
        </w:rPr>
        <w:t xml:space="preserve"> inicial</w:t>
      </w:r>
      <w:r>
        <w:rPr>
          <w:rFonts w:asciiTheme="majorHAnsi" w:hAnsiTheme="majorHAnsi" w:cstheme="majorHAnsi"/>
          <w:color w:val="auto"/>
          <w:sz w:val="22"/>
          <w:szCs w:val="22"/>
          <w:highlight w:val="none"/>
        </w:rPr>
        <w:t xml:space="preserve"> ou os documentos de habilitação </w:t>
      </w:r>
      <w:r>
        <w:rPr>
          <w:rFonts w:hint="default" w:asciiTheme="majorHAnsi" w:hAnsiTheme="majorHAnsi" w:cstheme="majorHAnsi"/>
          <w:color w:val="auto"/>
          <w:sz w:val="22"/>
          <w:szCs w:val="22"/>
          <w:highlight w:val="none"/>
          <w:lang w:val="pt-BR"/>
        </w:rPr>
        <w:t xml:space="preserve">eventualmente </w:t>
      </w:r>
      <w:r>
        <w:rPr>
          <w:rFonts w:asciiTheme="majorHAnsi" w:hAnsiTheme="majorHAnsi" w:cstheme="majorHAnsi"/>
          <w:color w:val="auto"/>
          <w:sz w:val="22"/>
          <w:szCs w:val="22"/>
          <w:highlight w:val="none"/>
        </w:rPr>
        <w:t>inseridos no sistema, dentro do período em que o sistema esteja aberto para o recebimento de proposta. Os documentos não poderão ser excluídos ou alterados a partir do prazo em que recebimentos das propostas estiver encerrado</w:t>
      </w:r>
      <w:r>
        <w:rPr>
          <w:rFonts w:hint="default" w:asciiTheme="majorHAnsi" w:hAnsiTheme="majorHAnsi" w:cstheme="majorHAnsi"/>
          <w:color w:val="auto"/>
          <w:sz w:val="22"/>
          <w:szCs w:val="22"/>
          <w:highlight w:val="none"/>
          <w:lang w:val="pt-BR"/>
        </w:rPr>
        <w:t xml:space="preserve">. </w:t>
      </w:r>
      <w:r>
        <w:rPr>
          <w:rFonts w:hint="default" w:asciiTheme="majorHAnsi" w:hAnsiTheme="majorHAnsi" w:cstheme="majorHAnsi"/>
          <w:color w:val="auto"/>
          <w:sz w:val="22"/>
          <w:szCs w:val="22"/>
          <w:highlight w:val="none"/>
          <w:shd w:val="clear" w:fill="F2B1BC"/>
          <w:lang w:val="pt-BR"/>
        </w:rPr>
        <w:t xml:space="preserve">Deverá, entretanto, a licitante vencedora, encaminhar os </w:t>
      </w:r>
      <w:r>
        <w:rPr>
          <w:rFonts w:hint="default" w:asciiTheme="majorHAnsi" w:hAnsiTheme="majorHAnsi" w:cstheme="majorHAnsi"/>
          <w:b/>
          <w:bCs/>
          <w:color w:val="auto"/>
          <w:sz w:val="22"/>
          <w:szCs w:val="22"/>
          <w:highlight w:val="none"/>
          <w:shd w:val="clear" w:fill="F2B1BC"/>
          <w:lang w:val="pt-BR"/>
        </w:rPr>
        <w:t>documentos de habilitação</w:t>
      </w:r>
      <w:r>
        <w:rPr>
          <w:rFonts w:hint="default" w:asciiTheme="majorHAnsi" w:hAnsiTheme="majorHAnsi" w:cstheme="majorHAnsi"/>
          <w:color w:val="auto"/>
          <w:sz w:val="22"/>
          <w:szCs w:val="22"/>
          <w:highlight w:val="none"/>
          <w:shd w:val="clear" w:fill="F2B1BC"/>
          <w:lang w:val="pt-BR"/>
        </w:rPr>
        <w:t xml:space="preserve"> exigidos neste edital, posteriormente, na fase 07 (de habilitação), dentro do período de tempo concedido pelo Pregoeiro, informado neste edital e no andamento da sessão</w:t>
      </w:r>
      <w:r>
        <w:rPr>
          <w:rFonts w:asciiTheme="majorHAnsi" w:hAnsiTheme="majorHAnsi" w:cstheme="majorHAnsi"/>
          <w:color w:val="auto"/>
          <w:sz w:val="22"/>
          <w:szCs w:val="22"/>
          <w:highlight w:val="none"/>
          <w:shd w:val="clear" w:fill="F2B1BC"/>
        </w:rPr>
        <w:t>.</w:t>
      </w:r>
      <w:r>
        <w:rPr>
          <w:rFonts w:asciiTheme="majorHAnsi" w:hAnsiTheme="majorHAnsi" w:cstheme="majorHAnsi"/>
          <w:color w:val="auto"/>
          <w:sz w:val="22"/>
          <w:szCs w:val="22"/>
          <w:highlight w:val="none"/>
          <w:shd w:val="clear" w:fill="81F58F"/>
        </w:rPr>
        <w:t xml:space="preserve"> </w:t>
      </w:r>
    </w:p>
    <w:p w14:paraId="1584CD07">
      <w:pPr>
        <w:pStyle w:val="58"/>
        <w:tabs>
          <w:tab w:val="left" w:pos="480"/>
        </w:tabs>
        <w:ind w:left="0" w:leftChars="0" w:firstLine="0" w:firstLineChars="0"/>
        <w:rPr>
          <w:rFonts w:asciiTheme="majorHAnsi" w:hAnsiTheme="majorHAnsi" w:cstheme="majorHAnsi"/>
          <w:color w:val="auto"/>
          <w:sz w:val="22"/>
          <w:szCs w:val="22"/>
        </w:rPr>
      </w:pPr>
      <w:r>
        <w:rPr>
          <w:rFonts w:asciiTheme="majorHAnsi" w:hAnsiTheme="majorHAnsi" w:cstheme="majorHAnsi"/>
          <w:color w:val="auto"/>
          <w:sz w:val="22"/>
          <w:szCs w:val="22"/>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4676DB6F">
      <w:pPr>
        <w:pStyle w:val="58"/>
        <w:tabs>
          <w:tab w:val="left" w:pos="480"/>
        </w:tabs>
        <w:ind w:left="0" w:leftChars="0" w:firstLine="0" w:firstLineChars="0"/>
        <w:rPr>
          <w:rFonts w:eastAsia="Calibri" w:asciiTheme="majorHAnsi" w:hAnsiTheme="majorHAnsi" w:cstheme="majorHAnsi"/>
          <w:sz w:val="22"/>
          <w:szCs w:val="22"/>
        </w:rPr>
      </w:pPr>
      <w:r>
        <w:rPr>
          <w:rFonts w:eastAsia="Calibri" w:asciiTheme="majorHAnsi" w:hAnsiTheme="majorHAnsi" w:cstheme="majorHAnsi"/>
          <w:sz w:val="22"/>
          <w:szCs w:val="22"/>
        </w:rPr>
        <w:t>O prazo de validade da proposta não será inferior a 60 (sessenta) dias, a contar da data de sua apresentação.</w:t>
      </w:r>
    </w:p>
    <w:p w14:paraId="3E2A0EE1">
      <w:pPr>
        <w:pStyle w:val="58"/>
        <w:tabs>
          <w:tab w:val="left" w:pos="480"/>
        </w:tabs>
        <w:ind w:left="0" w:leftChars="0" w:firstLine="0" w:firstLineChars="0"/>
        <w:rPr>
          <w:rFonts w:eastAsia="Calibri" w:asciiTheme="majorHAnsi" w:hAnsiTheme="majorHAnsi" w:cstheme="majorHAnsi"/>
          <w:sz w:val="22"/>
          <w:szCs w:val="22"/>
        </w:rPr>
      </w:pPr>
      <w:r>
        <w:rPr>
          <w:rFonts w:eastAsia="Calibri" w:asciiTheme="majorHAnsi" w:hAnsiTheme="majorHAnsi" w:cstheme="majorHAnsi"/>
          <w:sz w:val="22"/>
          <w:szCs w:val="22"/>
        </w:rPr>
        <w:t>Eventual sobrepreço ou superfaturamento da proposta ou lance poderá ser objeto de apuração de responsabilidade.</w:t>
      </w:r>
    </w:p>
    <w:p w14:paraId="14CB8A1F">
      <w:pPr>
        <w:pStyle w:val="58"/>
        <w:tabs>
          <w:tab w:val="left" w:pos="480"/>
        </w:tabs>
        <w:ind w:left="0" w:leftChars="0" w:firstLine="0" w:firstLineChars="0"/>
        <w:rPr>
          <w:rFonts w:eastAsia="Calibri" w:asciiTheme="majorHAnsi" w:hAnsiTheme="majorHAnsi" w:cstheme="majorHAnsi"/>
          <w:color w:val="auto"/>
          <w:sz w:val="22"/>
          <w:szCs w:val="22"/>
        </w:rPr>
      </w:pPr>
      <w:r>
        <w:rPr>
          <w:rFonts w:eastAsia="Calibri" w:asciiTheme="majorHAnsi" w:hAnsiTheme="majorHAnsi" w:cstheme="majorHAnsi"/>
          <w:color w:val="auto"/>
          <w:sz w:val="22"/>
          <w:szCs w:val="22"/>
        </w:rPr>
        <w:t xml:space="preserve">Independente </w:t>
      </w:r>
      <w:r>
        <w:rPr>
          <w:rFonts w:eastAsia="Calibri" w:asciiTheme="majorHAnsi" w:hAnsiTheme="majorHAnsi" w:cstheme="majorHAnsi"/>
          <w:sz w:val="22"/>
          <w:szCs w:val="22"/>
        </w:rPr>
        <w:t>do percentual de tributo inserido na planilha, no pagamento serão retidos na fonte os percentuais estabelecidos na legislação vigente.</w:t>
      </w:r>
    </w:p>
    <w:p w14:paraId="4580136A">
      <w:pPr>
        <w:pStyle w:val="60"/>
        <w:numPr>
          <w:ilvl w:val="2"/>
          <w:numId w:val="0"/>
        </w:numPr>
        <w:tabs>
          <w:tab w:val="left" w:pos="720"/>
        </w:tabs>
        <w:spacing w:line="240" w:lineRule="auto"/>
        <w:ind w:left="425" w:leftChars="0"/>
        <w:rPr>
          <w:sz w:val="22"/>
          <w:szCs w:val="22"/>
        </w:rPr>
      </w:pPr>
    </w:p>
    <w:p w14:paraId="2296AA7A">
      <w:pPr>
        <w:pStyle w:val="41"/>
        <w:tabs>
          <w:tab w:val="left" w:pos="480"/>
        </w:tabs>
        <w:spacing w:before="120" w:line="276" w:lineRule="auto"/>
        <w:ind w:left="0" w:leftChars="0" w:firstLine="0" w:firstLineChars="0"/>
        <w:rPr>
          <w:rFonts w:asciiTheme="majorHAnsi" w:hAnsiTheme="majorHAnsi" w:cstheme="majorHAnsi"/>
          <w:sz w:val="22"/>
          <w:szCs w:val="22"/>
        </w:rPr>
      </w:pPr>
      <w:bookmarkStart w:id="19" w:name="_Toc122606107"/>
      <w:bookmarkStart w:id="20" w:name="_Hlk114646655"/>
      <w:r>
        <w:rPr>
          <w:rFonts w:asciiTheme="majorHAnsi" w:hAnsiTheme="majorHAnsi" w:cstheme="majorHAnsi"/>
          <w:sz w:val="22"/>
          <w:szCs w:val="22"/>
        </w:rPr>
        <w:t>DA ABERTURA DA SESSÃO, CLASSIFICAÇÃO DAS PROPOSTAS E FORMULAÇÃO DE LANCES</w:t>
      </w:r>
      <w:bookmarkEnd w:id="19"/>
    </w:p>
    <w:p w14:paraId="2E5F39F1"/>
    <w:p w14:paraId="15C2EDCA">
      <w:pPr>
        <w:pStyle w:val="58"/>
        <w:tabs>
          <w:tab w:val="left" w:pos="480"/>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A abertura da presente licitação dar-se-á automaticamente em sessão pública, por meio de sistema eletrônico, na data, horário e local indicados neste Edital.</w:t>
      </w:r>
    </w:p>
    <w:p w14:paraId="6FB9FBC8">
      <w:pPr>
        <w:pStyle w:val="58"/>
        <w:tabs>
          <w:tab w:val="left" w:pos="480"/>
        </w:tabs>
        <w:ind w:left="0" w:leftChars="0" w:firstLine="0" w:firstLineChars="0"/>
        <w:rPr>
          <w:rFonts w:asciiTheme="majorHAnsi" w:hAnsiTheme="majorHAnsi" w:cstheme="majorHAnsi"/>
          <w:sz w:val="22"/>
          <w:szCs w:val="22"/>
        </w:rPr>
      </w:pPr>
      <w:r>
        <w:rPr>
          <w:rFonts w:asciiTheme="majorHAnsi" w:hAnsiTheme="majorHAnsi" w:cstheme="majorHAnsi"/>
          <w:sz w:val="22"/>
          <w:szCs w:val="22"/>
        </w:rPr>
        <w:t>Os licitantes poderão retirar ou substituir a proposta ou os documentos de habilitação, quando for o caso, anteriormente inseridos no sistema, até a etapa de abertura da sessão pública</w:t>
      </w:r>
      <w:r>
        <w:rPr>
          <w:rFonts w:hint="default" w:asciiTheme="majorHAnsi" w:hAnsiTheme="majorHAnsi" w:cstheme="majorHAnsi"/>
          <w:sz w:val="22"/>
          <w:szCs w:val="22"/>
          <w:lang w:val="pt-BR"/>
        </w:rPr>
        <w:t>.</w:t>
      </w:r>
      <w:r>
        <w:rPr>
          <w:rFonts w:asciiTheme="majorHAnsi" w:hAnsiTheme="majorHAnsi" w:cstheme="majorHAnsi"/>
          <w:sz w:val="22"/>
          <w:szCs w:val="22"/>
        </w:rPr>
        <w:t xml:space="preserve"> </w:t>
      </w:r>
    </w:p>
    <w:p w14:paraId="619EAC33">
      <w:pPr>
        <w:pStyle w:val="58"/>
        <w:tabs>
          <w:tab w:val="left" w:pos="480"/>
        </w:tabs>
        <w:spacing w:after="0"/>
        <w:ind w:left="0" w:leftChars="0" w:firstLine="0" w:firstLineChars="0"/>
        <w:rPr>
          <w:rFonts w:asciiTheme="majorHAnsi" w:hAnsiTheme="majorHAnsi" w:cstheme="majorHAnsi"/>
          <w:sz w:val="22"/>
          <w:szCs w:val="22"/>
        </w:rPr>
      </w:pPr>
      <w:r>
        <w:rPr>
          <w:rFonts w:asciiTheme="majorHAnsi" w:hAnsiTheme="majorHAnsi" w:cstheme="majorHAnsi"/>
          <w:color w:val="auto"/>
          <w:sz w:val="22"/>
          <w:szCs w:val="22"/>
        </w:rPr>
        <w:t>Quando autorizado e devidamente justificado pelo pregoeiro, o</w:t>
      </w:r>
      <w:r>
        <w:rPr>
          <w:rFonts w:asciiTheme="majorHAnsi" w:hAnsiTheme="majorHAnsi" w:cstheme="majorHAnsi"/>
          <w:sz w:val="22"/>
          <w:szCs w:val="22"/>
        </w:rPr>
        <w:t>s licitantes poderã</w:t>
      </w:r>
      <w:r>
        <w:rPr>
          <w:rFonts w:asciiTheme="majorHAnsi" w:hAnsiTheme="majorHAnsi" w:cstheme="majorHAnsi"/>
          <w:color w:val="auto"/>
          <w:sz w:val="22"/>
          <w:szCs w:val="22"/>
        </w:rPr>
        <w:t>o alterar a proposta anteriormente inserida no sistema durante a fase de análise de propostas.</w:t>
      </w:r>
    </w:p>
    <w:p w14:paraId="30C1D5DD">
      <w:pPr>
        <w:pStyle w:val="60"/>
        <w:spacing w:after="0"/>
        <w:ind w:left="0" w:firstLine="709"/>
        <w:rPr>
          <w:rFonts w:asciiTheme="majorHAnsi" w:hAnsiTheme="majorHAnsi" w:cstheme="majorHAnsi"/>
          <w:sz w:val="22"/>
          <w:szCs w:val="22"/>
        </w:rPr>
      </w:pPr>
      <w:r>
        <w:rPr>
          <w:rFonts w:asciiTheme="majorHAnsi" w:hAnsiTheme="majorHAnsi" w:cstheme="majorHAnsi"/>
          <w:sz w:val="22"/>
          <w:szCs w:val="22"/>
        </w:rPr>
        <w:t>Será desclassificada a proposta que identifique o licitante.</w:t>
      </w:r>
    </w:p>
    <w:p w14:paraId="0495BC85">
      <w:pPr>
        <w:pStyle w:val="60"/>
        <w:spacing w:after="0"/>
        <w:ind w:left="0" w:firstLine="709"/>
        <w:rPr>
          <w:rFonts w:asciiTheme="majorHAnsi" w:hAnsiTheme="majorHAnsi" w:cstheme="majorHAnsi"/>
          <w:sz w:val="22"/>
          <w:szCs w:val="22"/>
        </w:rPr>
      </w:pPr>
      <w:r>
        <w:rPr>
          <w:rFonts w:asciiTheme="majorHAnsi" w:hAnsiTheme="majorHAnsi" w:cstheme="majorHAnsi"/>
          <w:sz w:val="22"/>
          <w:szCs w:val="22"/>
        </w:rPr>
        <w:t>A desclassificação será sempre fundamentada e registrada no sistema, com acompanhamento em tempo real por todos os participantes.</w:t>
      </w:r>
    </w:p>
    <w:p w14:paraId="5559B671">
      <w:pPr>
        <w:pStyle w:val="60"/>
        <w:spacing w:after="0"/>
        <w:ind w:left="0" w:firstLine="709"/>
        <w:rPr>
          <w:rFonts w:asciiTheme="majorHAnsi" w:hAnsiTheme="majorHAnsi" w:cstheme="majorHAnsi"/>
          <w:sz w:val="22"/>
          <w:szCs w:val="22"/>
        </w:rPr>
      </w:pPr>
      <w:r>
        <w:rPr>
          <w:rFonts w:asciiTheme="majorHAnsi" w:hAnsiTheme="majorHAnsi" w:cstheme="majorHAnsi"/>
          <w:sz w:val="22"/>
          <w:szCs w:val="22"/>
        </w:rPr>
        <w:t>A não desclassificação da proposta não impede o seu julgamento definitivo em sentido contrário, levado a efeito na fase de aceitação.</w:t>
      </w:r>
    </w:p>
    <w:p w14:paraId="2D4ECF2B">
      <w:pPr>
        <w:pStyle w:val="58"/>
        <w:tabs>
          <w:tab w:val="left" w:pos="480"/>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O sistema ordenará automaticamente as propostas classificadas, sendo que somente estas participarão da fase de lances.</w:t>
      </w:r>
    </w:p>
    <w:p w14:paraId="093329AA">
      <w:pPr>
        <w:pStyle w:val="58"/>
        <w:tabs>
          <w:tab w:val="left" w:pos="480"/>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 xml:space="preserve">O sistema disponibilizará campo próprio para troca de mensagens entre o Pregoeiro e os licitantes, bem como as mensagens automáticas enviadas pelo próprio sistema. </w:t>
      </w:r>
    </w:p>
    <w:p w14:paraId="35809A81">
      <w:pPr>
        <w:pStyle w:val="58"/>
        <w:tabs>
          <w:tab w:val="left" w:pos="480"/>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 xml:space="preserve">Iniciada a etapa competitiva, os licitantes deverão encaminhar lances exclusivamente por meio de sistema eletrônico, sendo imediatamente informados do seu recebimento e do valor consignado no registro. </w:t>
      </w:r>
    </w:p>
    <w:p w14:paraId="72591374">
      <w:pPr>
        <w:pStyle w:val="58"/>
        <w:tabs>
          <w:tab w:val="left" w:pos="480"/>
        </w:tabs>
        <w:spacing w:after="0"/>
        <w:ind w:left="0" w:leftChars="0" w:firstLine="0" w:firstLineChars="0"/>
        <w:rPr>
          <w:rFonts w:asciiTheme="majorHAnsi" w:hAnsiTheme="majorHAnsi" w:cstheme="majorHAnsi"/>
          <w:color w:val="auto"/>
          <w:sz w:val="22"/>
          <w:szCs w:val="22"/>
          <w:highlight w:val="none"/>
        </w:rPr>
      </w:pPr>
      <w:r>
        <w:rPr>
          <w:rFonts w:asciiTheme="majorHAnsi" w:hAnsiTheme="majorHAnsi" w:cstheme="majorHAnsi"/>
          <w:sz w:val="22"/>
          <w:szCs w:val="22"/>
          <w:highlight w:val="none"/>
        </w:rPr>
        <w:t xml:space="preserve">O lance deverá ser ofertado pelo valor </w:t>
      </w:r>
      <w:r>
        <w:rPr>
          <w:rFonts w:asciiTheme="majorHAnsi" w:hAnsiTheme="majorHAnsi" w:cstheme="majorHAnsi"/>
          <w:color w:val="auto"/>
          <w:sz w:val="22"/>
          <w:szCs w:val="22"/>
          <w:highlight w:val="none"/>
        </w:rPr>
        <w:t>global do lote.</w:t>
      </w:r>
    </w:p>
    <w:p w14:paraId="484DC53D">
      <w:pPr>
        <w:pStyle w:val="58"/>
        <w:tabs>
          <w:tab w:val="left" w:pos="480"/>
        </w:tabs>
        <w:spacing w:after="0"/>
        <w:ind w:left="0" w:leftChars="0" w:firstLine="0" w:firstLineChars="0"/>
        <w:rPr>
          <w:rFonts w:asciiTheme="majorHAnsi" w:hAnsiTheme="majorHAnsi" w:cstheme="majorHAnsi"/>
          <w:color w:val="auto"/>
          <w:sz w:val="22"/>
          <w:szCs w:val="22"/>
        </w:rPr>
      </w:pPr>
      <w:r>
        <w:rPr>
          <w:rFonts w:asciiTheme="majorHAnsi" w:hAnsiTheme="majorHAnsi" w:cstheme="majorHAnsi"/>
          <w:color w:val="auto"/>
          <w:sz w:val="22"/>
          <w:szCs w:val="22"/>
        </w:rPr>
        <w:t>Os licitantes poderão oferecer lances sucessivos, observando o horário fixado para abertura da sessão e as regras estabelecidas no Edital.</w:t>
      </w:r>
    </w:p>
    <w:p w14:paraId="6B07B867">
      <w:pPr>
        <w:pStyle w:val="58"/>
        <w:tabs>
          <w:tab w:val="left" w:pos="480"/>
        </w:tabs>
        <w:spacing w:after="0"/>
        <w:ind w:left="0" w:leftChars="0" w:firstLine="0" w:firstLineChars="0"/>
        <w:rPr>
          <w:rFonts w:hint="default" w:ascii="Calibri" w:hAnsi="Calibri" w:cs="Calibri"/>
          <w:sz w:val="22"/>
          <w:szCs w:val="22"/>
        </w:rPr>
      </w:pPr>
      <w:r>
        <w:rPr>
          <w:rFonts w:hint="default" w:ascii="Calibri" w:hAnsi="Calibri" w:cs="Calibri"/>
          <w:color w:val="auto"/>
          <w:sz w:val="22"/>
          <w:szCs w:val="22"/>
        </w:rPr>
        <w:t xml:space="preserve">O licitante somente poderá oferecer lance </w:t>
      </w:r>
      <w:r>
        <w:rPr>
          <w:rFonts w:hint="default" w:ascii="Calibri" w:hAnsi="Calibri" w:cs="Calibri"/>
          <w:i/>
          <w:iCs/>
          <w:color w:val="auto"/>
          <w:sz w:val="22"/>
          <w:szCs w:val="22"/>
        </w:rPr>
        <w:t xml:space="preserve">de </w:t>
      </w:r>
      <w:r>
        <w:rPr>
          <w:rFonts w:hint="default" w:ascii="Calibri" w:hAnsi="Calibri" w:cs="Calibri"/>
          <w:b/>
          <w:bCs/>
          <w:i/>
          <w:iCs/>
          <w:color w:val="auto"/>
          <w:sz w:val="22"/>
          <w:szCs w:val="22"/>
        </w:rPr>
        <w:t>valor</w:t>
      </w:r>
      <w:r>
        <w:rPr>
          <w:rFonts w:hint="default" w:ascii="Calibri" w:hAnsi="Calibri" w:cs="Calibri"/>
          <w:b/>
          <w:bCs/>
          <w:color w:val="auto"/>
          <w:sz w:val="22"/>
          <w:szCs w:val="22"/>
        </w:rPr>
        <w:t xml:space="preserve"> </w:t>
      </w:r>
      <w:r>
        <w:rPr>
          <w:rFonts w:hint="default" w:ascii="Calibri" w:hAnsi="Calibri" w:cs="Calibri"/>
          <w:b/>
          <w:bCs/>
          <w:i/>
          <w:iCs/>
          <w:color w:val="auto"/>
          <w:sz w:val="22"/>
          <w:szCs w:val="22"/>
        </w:rPr>
        <w:t>inferior</w:t>
      </w:r>
      <w:r>
        <w:rPr>
          <w:rFonts w:hint="default" w:ascii="Calibri" w:hAnsi="Calibri" w:cs="Calibri"/>
          <w:b/>
          <w:bCs/>
          <w:color w:val="auto"/>
          <w:sz w:val="22"/>
          <w:szCs w:val="22"/>
        </w:rPr>
        <w:t xml:space="preserve"> </w:t>
      </w:r>
      <w:r>
        <w:rPr>
          <w:rFonts w:hint="default" w:ascii="Calibri" w:hAnsi="Calibri" w:cs="Calibri"/>
          <w:color w:val="auto"/>
          <w:sz w:val="22"/>
          <w:szCs w:val="22"/>
        </w:rPr>
        <w:t xml:space="preserve">ao último por ele ofertado e registrado pelo sistema. </w:t>
      </w:r>
      <w:r>
        <w:rPr>
          <w:rFonts w:hint="default" w:ascii="Calibri" w:hAnsi="Calibri" w:cs="Calibri"/>
          <w:color w:val="auto"/>
          <w:sz w:val="22"/>
          <w:szCs w:val="22"/>
          <w:lang w:val="pt-BR"/>
        </w:rPr>
        <w:t xml:space="preserve">  </w:t>
      </w:r>
      <w:r>
        <w:rPr>
          <w:rFonts w:hint="default" w:ascii="Calibri" w:hAnsi="Calibri" w:cs="Calibri"/>
          <w:sz w:val="22"/>
          <w:szCs w:val="22"/>
          <w:lang w:val="pt-BR"/>
        </w:rPr>
        <w:t xml:space="preserve">Não serão aceitos dois ou mais lances de mesmo valor, prevalecendo aquele que for recebido e registrado em primeiro lugar. </w:t>
      </w:r>
      <w:r>
        <w:rPr>
          <w:rFonts w:hint="default" w:ascii="Calibri" w:hAnsi="Calibri" w:cs="Calibri"/>
          <w:sz w:val="22"/>
          <w:szCs w:val="22"/>
        </w:rPr>
        <w:t>Caso o licitante não apresente lances, concorrerá com o valor de sua proposta.</w:t>
      </w:r>
    </w:p>
    <w:p w14:paraId="70561F14">
      <w:pPr>
        <w:pStyle w:val="58"/>
        <w:keepNext w:val="0"/>
        <w:keepLines w:val="0"/>
        <w:pageBreakBefore w:val="0"/>
        <w:widowControl/>
        <w:tabs>
          <w:tab w:val="left" w:pos="480"/>
        </w:tabs>
        <w:kinsoku/>
        <w:wordWrap/>
        <w:overflowPunct/>
        <w:topLinePunct w:val="0"/>
        <w:autoSpaceDE/>
        <w:autoSpaceDN/>
        <w:bidi w:val="0"/>
        <w:adjustRightInd/>
        <w:snapToGrid/>
        <w:spacing w:before="120" w:after="0"/>
        <w:ind w:left="0" w:leftChars="0" w:firstLine="0" w:firstLineChars="0"/>
        <w:textAlignment w:val="auto"/>
        <w:rPr>
          <w:rFonts w:hint="default" w:asciiTheme="majorHAnsi" w:hAnsiTheme="majorHAnsi" w:cstheme="majorHAnsi"/>
          <w:color w:val="auto"/>
          <w:sz w:val="22"/>
          <w:szCs w:val="22"/>
          <w:lang w:val="en-US"/>
        </w:rPr>
      </w:pPr>
      <w:r>
        <w:rPr>
          <w:rFonts w:asciiTheme="majorHAnsi" w:hAnsiTheme="majorHAnsi" w:cstheme="majorHAnsi"/>
          <w:color w:val="auto"/>
          <w:sz w:val="22"/>
          <w:szCs w:val="22"/>
        </w:rPr>
        <w:t>O intervalo mínimo de diferença de valores ou percentuais entre os lances, que incidirá tanto em relação aos lances intermediários quanto em relação à proposta que cobrir a melhor oferta</w:t>
      </w:r>
      <w:r>
        <w:rPr>
          <w:rFonts w:asciiTheme="majorHAnsi" w:hAnsiTheme="majorHAnsi" w:cstheme="majorHAnsi"/>
          <w:color w:val="auto"/>
          <w:sz w:val="22"/>
          <w:szCs w:val="22"/>
          <w:highlight w:val="none"/>
          <w:shd w:val="clear"/>
        </w:rPr>
        <w:t xml:space="preserve"> </w:t>
      </w:r>
      <w:r>
        <w:rPr>
          <w:rFonts w:asciiTheme="majorHAnsi" w:hAnsiTheme="majorHAnsi" w:cstheme="majorHAnsi"/>
          <w:color w:val="auto"/>
          <w:sz w:val="22"/>
          <w:szCs w:val="22"/>
          <w:highlight w:val="none"/>
        </w:rPr>
        <w:t>deverá ser</w:t>
      </w:r>
      <w:r>
        <w:rPr>
          <w:rFonts w:asciiTheme="majorHAnsi" w:hAnsiTheme="majorHAnsi" w:cstheme="majorHAnsi"/>
          <w:i/>
          <w:iCs/>
          <w:color w:val="auto"/>
          <w:sz w:val="22"/>
          <w:szCs w:val="22"/>
          <w:highlight w:val="none"/>
        </w:rPr>
        <w:t xml:space="preserve"> de</w:t>
      </w:r>
      <w:r>
        <w:rPr>
          <w:rFonts w:hint="default" w:asciiTheme="majorHAnsi" w:hAnsiTheme="majorHAnsi" w:cstheme="majorHAnsi"/>
          <w:i/>
          <w:iCs/>
          <w:color w:val="auto"/>
          <w:sz w:val="22"/>
          <w:szCs w:val="22"/>
          <w:highlight w:val="none"/>
          <w:lang w:val="pt-BR"/>
        </w:rPr>
        <w:t xml:space="preserve"> </w:t>
      </w:r>
    </w:p>
    <w:p w14:paraId="0AF642D5">
      <w:pPr>
        <w:pStyle w:val="58"/>
        <w:keepNext w:val="0"/>
        <w:keepLines w:val="0"/>
        <w:pageBreakBefore w:val="0"/>
        <w:widowControl/>
        <w:numPr>
          <w:ilvl w:val="0"/>
          <w:numId w:val="4"/>
        </w:numPr>
        <w:shd w:val="clear" w:fill="F2B1BC"/>
        <w:tabs>
          <w:tab w:val="left" w:pos="480"/>
          <w:tab w:val="clear" w:pos="420"/>
        </w:tabs>
        <w:kinsoku/>
        <w:wordWrap/>
        <w:overflowPunct/>
        <w:topLinePunct w:val="0"/>
        <w:autoSpaceDE/>
        <w:autoSpaceDN/>
        <w:bidi w:val="0"/>
        <w:adjustRightInd/>
        <w:snapToGrid/>
        <w:spacing w:before="0" w:after="0" w:line="240" w:lineRule="auto"/>
        <w:ind w:left="420" w:leftChars="0" w:hanging="420" w:firstLineChars="0"/>
        <w:textAlignment w:val="auto"/>
        <w:rPr>
          <w:rFonts w:hint="default" w:asciiTheme="majorHAnsi" w:hAnsiTheme="majorHAnsi" w:cstheme="majorHAnsi"/>
          <w:color w:val="auto"/>
          <w:sz w:val="22"/>
          <w:szCs w:val="22"/>
          <w:highlight w:val="none"/>
          <w:lang w:val="en-US"/>
        </w:rPr>
      </w:pPr>
      <w:r>
        <w:rPr>
          <w:rFonts w:hint="default" w:asciiTheme="majorHAnsi" w:hAnsiTheme="majorHAnsi" w:cstheme="majorHAnsi"/>
          <w:b/>
          <w:bCs/>
          <w:color w:val="auto"/>
          <w:sz w:val="22"/>
          <w:szCs w:val="22"/>
          <w:highlight w:val="none"/>
          <w:lang w:val="pt-BR"/>
        </w:rPr>
        <w:t>R$ 5,00 (cinco reais) para os LOTES: 04-12-21-29 e 33</w:t>
      </w:r>
    </w:p>
    <w:p w14:paraId="5211C604">
      <w:pPr>
        <w:pStyle w:val="58"/>
        <w:keepNext w:val="0"/>
        <w:keepLines w:val="0"/>
        <w:pageBreakBefore w:val="0"/>
        <w:widowControl/>
        <w:numPr>
          <w:ilvl w:val="0"/>
          <w:numId w:val="4"/>
        </w:numPr>
        <w:shd w:val="clear" w:fill="F2B1BC"/>
        <w:tabs>
          <w:tab w:val="left" w:pos="480"/>
          <w:tab w:val="clear" w:pos="420"/>
        </w:tabs>
        <w:kinsoku/>
        <w:wordWrap/>
        <w:overflowPunct/>
        <w:topLinePunct w:val="0"/>
        <w:autoSpaceDE/>
        <w:autoSpaceDN/>
        <w:bidi w:val="0"/>
        <w:adjustRightInd/>
        <w:snapToGrid/>
        <w:spacing w:before="0" w:after="0" w:line="240" w:lineRule="auto"/>
        <w:ind w:left="420" w:leftChars="0" w:hanging="420" w:firstLineChars="0"/>
        <w:textAlignment w:val="auto"/>
        <w:rPr>
          <w:rFonts w:hint="default" w:asciiTheme="majorHAnsi" w:hAnsiTheme="majorHAnsi" w:cstheme="majorHAnsi"/>
          <w:color w:val="auto"/>
          <w:sz w:val="22"/>
          <w:szCs w:val="22"/>
          <w:highlight w:val="none"/>
          <w:lang w:val="en-US"/>
        </w:rPr>
      </w:pPr>
      <w:r>
        <w:rPr>
          <w:rFonts w:hint="default" w:asciiTheme="majorHAnsi" w:hAnsiTheme="majorHAnsi" w:cstheme="majorHAnsi"/>
          <w:b/>
          <w:bCs/>
          <w:color w:val="auto"/>
          <w:sz w:val="22"/>
          <w:szCs w:val="22"/>
          <w:highlight w:val="none"/>
          <w:lang w:val="pt-BR"/>
        </w:rPr>
        <w:t>R$ 10,00 (dez reais) para os  LOTES: 03-06-07-17-23-24-25-27-28-30-34 e 35</w:t>
      </w:r>
    </w:p>
    <w:p w14:paraId="15329EA9">
      <w:pPr>
        <w:pStyle w:val="58"/>
        <w:keepNext w:val="0"/>
        <w:keepLines w:val="0"/>
        <w:pageBreakBefore w:val="0"/>
        <w:widowControl/>
        <w:numPr>
          <w:ilvl w:val="0"/>
          <w:numId w:val="4"/>
        </w:numPr>
        <w:shd w:val="clear" w:fill="F2B1BC"/>
        <w:tabs>
          <w:tab w:val="left" w:pos="480"/>
          <w:tab w:val="clear" w:pos="420"/>
        </w:tabs>
        <w:kinsoku/>
        <w:wordWrap/>
        <w:overflowPunct/>
        <w:topLinePunct w:val="0"/>
        <w:autoSpaceDE/>
        <w:autoSpaceDN/>
        <w:bidi w:val="0"/>
        <w:adjustRightInd/>
        <w:snapToGrid/>
        <w:spacing w:before="0" w:after="0" w:line="240" w:lineRule="auto"/>
        <w:ind w:left="0" w:leftChars="0" w:firstLine="0" w:firstLineChars="0"/>
        <w:textAlignment w:val="auto"/>
        <w:rPr>
          <w:rFonts w:hint="default" w:asciiTheme="majorHAnsi" w:hAnsiTheme="majorHAnsi" w:cstheme="majorHAnsi"/>
          <w:color w:val="auto"/>
          <w:sz w:val="22"/>
          <w:szCs w:val="22"/>
          <w:highlight w:val="none"/>
          <w:lang w:val="en-US"/>
        </w:rPr>
      </w:pPr>
      <w:r>
        <w:rPr>
          <w:rFonts w:hint="default" w:asciiTheme="majorHAnsi" w:hAnsiTheme="majorHAnsi" w:cstheme="majorHAnsi"/>
          <w:b/>
          <w:bCs/>
          <w:color w:val="auto"/>
          <w:sz w:val="22"/>
          <w:szCs w:val="22"/>
          <w:highlight w:val="none"/>
          <w:lang w:val="pt-BR"/>
        </w:rPr>
        <w:t>R$ 20,00 (vinte reais) para os LOTES: 02-05-08-09-10-11-14-15-16-18-19-22-26-31-32-36-37 e 39</w:t>
      </w:r>
    </w:p>
    <w:p w14:paraId="4AF15842">
      <w:pPr>
        <w:pStyle w:val="58"/>
        <w:keepNext w:val="0"/>
        <w:keepLines w:val="0"/>
        <w:pageBreakBefore w:val="0"/>
        <w:widowControl/>
        <w:numPr>
          <w:ilvl w:val="0"/>
          <w:numId w:val="4"/>
        </w:numPr>
        <w:shd w:val="clear" w:fill="F2B1BC"/>
        <w:tabs>
          <w:tab w:val="left" w:pos="480"/>
          <w:tab w:val="clear" w:pos="420"/>
        </w:tabs>
        <w:kinsoku/>
        <w:wordWrap/>
        <w:overflowPunct/>
        <w:topLinePunct w:val="0"/>
        <w:autoSpaceDE/>
        <w:autoSpaceDN/>
        <w:bidi w:val="0"/>
        <w:adjustRightInd/>
        <w:snapToGrid/>
        <w:spacing w:before="0" w:after="0" w:line="240" w:lineRule="auto"/>
        <w:ind w:left="420" w:leftChars="0" w:hanging="420" w:firstLineChars="0"/>
        <w:textAlignment w:val="auto"/>
        <w:rPr>
          <w:rFonts w:hint="default" w:asciiTheme="majorHAnsi" w:hAnsiTheme="majorHAnsi" w:cstheme="majorHAnsi"/>
          <w:color w:val="auto"/>
          <w:sz w:val="22"/>
          <w:szCs w:val="22"/>
          <w:highlight w:val="none"/>
          <w:lang w:val="en-US"/>
        </w:rPr>
      </w:pPr>
      <w:r>
        <w:rPr>
          <w:rFonts w:hint="default" w:asciiTheme="majorHAnsi" w:hAnsiTheme="majorHAnsi" w:cstheme="majorHAnsi"/>
          <w:b/>
          <w:bCs/>
          <w:color w:val="auto"/>
          <w:sz w:val="22"/>
          <w:szCs w:val="22"/>
          <w:highlight w:val="none"/>
          <w:lang w:val="pt-BR"/>
        </w:rPr>
        <w:t xml:space="preserve"> R$ 50,00 (cinquenta reais) para os LOTES: 13-20 e 38</w:t>
      </w:r>
    </w:p>
    <w:p w14:paraId="4CB898A3">
      <w:pPr>
        <w:pStyle w:val="58"/>
        <w:keepNext w:val="0"/>
        <w:keepLines w:val="0"/>
        <w:pageBreakBefore w:val="0"/>
        <w:widowControl/>
        <w:numPr>
          <w:ilvl w:val="0"/>
          <w:numId w:val="4"/>
        </w:numPr>
        <w:shd w:val="clear" w:fill="F2B1BC"/>
        <w:tabs>
          <w:tab w:val="left" w:pos="480"/>
          <w:tab w:val="clear" w:pos="420"/>
        </w:tabs>
        <w:kinsoku/>
        <w:wordWrap/>
        <w:overflowPunct/>
        <w:topLinePunct w:val="0"/>
        <w:autoSpaceDE/>
        <w:autoSpaceDN/>
        <w:bidi w:val="0"/>
        <w:adjustRightInd/>
        <w:snapToGrid/>
        <w:spacing w:before="0" w:after="0" w:line="240" w:lineRule="auto"/>
        <w:ind w:left="420" w:leftChars="0" w:hanging="420" w:firstLineChars="0"/>
        <w:textAlignment w:val="auto"/>
        <w:rPr>
          <w:rFonts w:hint="default" w:asciiTheme="majorHAnsi" w:hAnsiTheme="majorHAnsi" w:cstheme="majorHAnsi"/>
          <w:color w:val="auto"/>
          <w:sz w:val="22"/>
          <w:szCs w:val="22"/>
          <w:highlight w:val="none"/>
          <w:lang w:val="en-US"/>
        </w:rPr>
      </w:pPr>
      <w:r>
        <w:rPr>
          <w:rFonts w:hint="default" w:asciiTheme="majorHAnsi" w:hAnsiTheme="majorHAnsi" w:cstheme="majorHAnsi"/>
          <w:b/>
          <w:bCs/>
          <w:color w:val="auto"/>
          <w:sz w:val="22"/>
          <w:szCs w:val="22"/>
          <w:highlight w:val="none"/>
          <w:lang w:val="pt-BR"/>
        </w:rPr>
        <w:t>R$ 100,00 (cem reais) para o LOTE 01</w:t>
      </w:r>
    </w:p>
    <w:p w14:paraId="21791772">
      <w:pPr>
        <w:pStyle w:val="58"/>
        <w:keepNext w:val="0"/>
        <w:keepLines w:val="0"/>
        <w:pageBreakBefore w:val="0"/>
        <w:widowControl/>
        <w:numPr>
          <w:ilvl w:val="1"/>
          <w:numId w:val="0"/>
        </w:numPr>
        <w:tabs>
          <w:tab w:val="left" w:pos="480"/>
        </w:tabs>
        <w:kinsoku/>
        <w:wordWrap/>
        <w:overflowPunct/>
        <w:topLinePunct w:val="0"/>
        <w:autoSpaceDE/>
        <w:autoSpaceDN/>
        <w:bidi w:val="0"/>
        <w:adjustRightInd/>
        <w:snapToGrid/>
        <w:spacing w:before="120" w:after="0" w:line="276" w:lineRule="auto"/>
        <w:jc w:val="both"/>
        <w:textAlignment w:val="auto"/>
        <w:rPr>
          <w:rFonts w:hint="default" w:asciiTheme="majorHAnsi" w:hAnsiTheme="majorHAnsi" w:cstheme="majorHAnsi"/>
          <w:color w:val="auto"/>
          <w:sz w:val="22"/>
          <w:szCs w:val="22"/>
          <w:lang w:val="en-US"/>
        </w:rPr>
      </w:pPr>
    </w:p>
    <w:p w14:paraId="4F7C6D46">
      <w:pPr>
        <w:pStyle w:val="58"/>
        <w:keepNext w:val="0"/>
        <w:keepLines w:val="0"/>
        <w:pageBreakBefore w:val="0"/>
        <w:widowControl/>
        <w:tabs>
          <w:tab w:val="left" w:pos="480"/>
        </w:tabs>
        <w:kinsoku/>
        <w:wordWrap/>
        <w:overflowPunct/>
        <w:topLinePunct w:val="0"/>
        <w:autoSpaceDE/>
        <w:autoSpaceDN/>
        <w:bidi w:val="0"/>
        <w:adjustRightInd/>
        <w:snapToGrid/>
        <w:spacing w:before="120" w:after="0" w:line="360" w:lineRule="auto"/>
        <w:ind w:left="0" w:leftChars="0" w:firstLine="0" w:firstLineChars="0"/>
        <w:textAlignment w:val="auto"/>
        <w:rPr>
          <w:rFonts w:asciiTheme="majorHAnsi" w:hAnsiTheme="majorHAnsi" w:cstheme="majorHAnsi"/>
          <w:color w:val="auto"/>
          <w:sz w:val="22"/>
          <w:szCs w:val="22"/>
        </w:rPr>
      </w:pPr>
      <w:r>
        <w:rPr>
          <w:rFonts w:asciiTheme="majorHAnsi" w:hAnsiTheme="majorHAnsi" w:cstheme="majorHAnsi"/>
          <w:sz w:val="22"/>
          <w:szCs w:val="22"/>
        </w:rPr>
        <w:t xml:space="preserve">O procedimento seguirá de acordo com o </w:t>
      </w:r>
      <w:r>
        <w:rPr>
          <w:rFonts w:asciiTheme="majorHAnsi" w:hAnsiTheme="majorHAnsi" w:cstheme="majorHAnsi"/>
          <w:b/>
          <w:bCs/>
          <w:sz w:val="22"/>
          <w:szCs w:val="22"/>
        </w:rPr>
        <w:t xml:space="preserve">MODO DE DISPUTA </w:t>
      </w:r>
      <w:r>
        <w:rPr>
          <w:rFonts w:hint="default" w:asciiTheme="majorHAnsi" w:hAnsiTheme="majorHAnsi" w:cstheme="majorHAnsi"/>
          <w:b/>
          <w:bCs/>
          <w:sz w:val="22"/>
          <w:szCs w:val="22"/>
          <w:lang w:val="pt-BR"/>
        </w:rPr>
        <w:t>ABERTO</w:t>
      </w:r>
      <w:bookmarkStart w:id="21" w:name="_Hlk113697759"/>
      <w:r>
        <w:rPr>
          <w:rFonts w:hint="default" w:asciiTheme="majorHAnsi" w:hAnsiTheme="majorHAnsi" w:cstheme="majorHAnsi"/>
          <w:b/>
          <w:bCs/>
          <w:sz w:val="22"/>
          <w:szCs w:val="22"/>
          <w:lang w:val="pt-BR"/>
        </w:rPr>
        <w:t>.</w:t>
      </w:r>
    </w:p>
    <w:p w14:paraId="52B419B0">
      <w:pPr>
        <w:pStyle w:val="58"/>
        <w:keepNext w:val="0"/>
        <w:keepLines w:val="0"/>
        <w:pageBreakBefore w:val="0"/>
        <w:widowControl/>
        <w:numPr>
          <w:ilvl w:val="1"/>
          <w:numId w:val="0"/>
        </w:numPr>
        <w:kinsoku/>
        <w:wordWrap/>
        <w:overflowPunct/>
        <w:topLinePunct w:val="0"/>
        <w:autoSpaceDE/>
        <w:autoSpaceDN/>
        <w:bidi w:val="0"/>
        <w:adjustRightInd/>
        <w:snapToGrid/>
        <w:spacing w:before="0" w:after="0" w:line="240" w:lineRule="auto"/>
        <w:ind w:left="567" w:leftChars="0"/>
        <w:textAlignment w:val="auto"/>
        <w:rPr>
          <w:rFonts w:asciiTheme="majorHAnsi" w:hAnsiTheme="majorHAnsi" w:cstheme="majorHAnsi"/>
          <w:color w:val="auto"/>
          <w:sz w:val="22"/>
          <w:szCs w:val="22"/>
        </w:rPr>
      </w:pPr>
      <w:r>
        <w:rPr>
          <w:rFonts w:hint="default" w:asciiTheme="majorHAnsi" w:hAnsiTheme="majorHAnsi" w:cstheme="majorHAnsi"/>
          <w:b w:val="0"/>
          <w:bCs w:val="0"/>
          <w:sz w:val="22"/>
          <w:szCs w:val="22"/>
          <w:lang w:val="pt-BR"/>
        </w:rPr>
        <w:t>5.11.1</w:t>
      </w:r>
      <w:r>
        <w:rPr>
          <w:rFonts w:hint="default" w:asciiTheme="majorHAnsi" w:hAnsiTheme="majorHAnsi" w:cstheme="majorHAnsi"/>
          <w:b/>
          <w:bCs/>
          <w:sz w:val="22"/>
          <w:szCs w:val="22"/>
          <w:lang w:val="pt-BR"/>
        </w:rPr>
        <w:t xml:space="preserve"> </w:t>
      </w:r>
      <w:r>
        <w:rPr>
          <w:rFonts w:asciiTheme="majorHAnsi" w:hAnsiTheme="majorHAnsi" w:cstheme="majorHAnsi"/>
          <w:color w:val="auto"/>
          <w:sz w:val="22"/>
          <w:szCs w:val="22"/>
        </w:rPr>
        <w:t xml:space="preserve">No pregão eletrônico o </w:t>
      </w:r>
      <w:r>
        <w:rPr>
          <w:rFonts w:asciiTheme="majorHAnsi" w:hAnsiTheme="majorHAnsi" w:cstheme="majorHAnsi"/>
          <w:b/>
          <w:bCs/>
          <w:color w:val="auto"/>
          <w:sz w:val="22"/>
          <w:szCs w:val="22"/>
          <w:u w:val="single"/>
        </w:rPr>
        <w:t>MODO DE DISPUTA “ABERTO”</w:t>
      </w:r>
      <w:r>
        <w:rPr>
          <w:rFonts w:asciiTheme="majorHAnsi" w:hAnsiTheme="majorHAnsi" w:cstheme="majorHAnsi"/>
          <w:color w:val="auto"/>
          <w:sz w:val="22"/>
          <w:szCs w:val="22"/>
          <w:u w:val="single"/>
        </w:rPr>
        <w:t>,</w:t>
      </w:r>
      <w:r>
        <w:rPr>
          <w:rFonts w:asciiTheme="majorHAnsi" w:hAnsiTheme="majorHAnsi" w:cstheme="majorHAnsi"/>
          <w:color w:val="auto"/>
          <w:sz w:val="22"/>
          <w:szCs w:val="22"/>
        </w:rPr>
        <w:t xml:space="preserve"> os licitantes apresentarão lances públicos e sucessivos, com prorrogações.</w:t>
      </w:r>
      <w:bookmarkEnd w:id="21"/>
      <w:bookmarkStart w:id="22" w:name="_Hlk113697816"/>
    </w:p>
    <w:p w14:paraId="383D07E3">
      <w:pPr>
        <w:pStyle w:val="58"/>
        <w:keepNext w:val="0"/>
        <w:keepLines w:val="0"/>
        <w:pageBreakBefore w:val="0"/>
        <w:widowControl/>
        <w:numPr>
          <w:ilvl w:val="1"/>
          <w:numId w:val="0"/>
        </w:numPr>
        <w:kinsoku/>
        <w:wordWrap/>
        <w:overflowPunct/>
        <w:topLinePunct w:val="0"/>
        <w:autoSpaceDE/>
        <w:autoSpaceDN/>
        <w:bidi w:val="0"/>
        <w:adjustRightInd/>
        <w:snapToGrid/>
        <w:spacing w:before="0" w:after="0" w:line="240" w:lineRule="auto"/>
        <w:ind w:left="567" w:leftChars="0"/>
        <w:textAlignment w:val="auto"/>
        <w:rPr>
          <w:rFonts w:asciiTheme="majorHAnsi" w:hAnsiTheme="majorHAnsi" w:cstheme="majorHAnsi"/>
          <w:color w:val="auto"/>
          <w:sz w:val="22"/>
          <w:szCs w:val="22"/>
        </w:rPr>
      </w:pPr>
      <w:r>
        <w:rPr>
          <w:rFonts w:hint="default" w:asciiTheme="majorHAnsi" w:hAnsiTheme="majorHAnsi" w:cstheme="majorHAnsi"/>
          <w:color w:val="auto"/>
          <w:sz w:val="22"/>
          <w:szCs w:val="22"/>
          <w:lang w:val="pt-BR"/>
        </w:rPr>
        <w:t xml:space="preserve">5.11.2 </w:t>
      </w:r>
      <w:r>
        <w:rPr>
          <w:rFonts w:asciiTheme="majorHAnsi" w:hAnsiTheme="majorHAnsi" w:cstheme="majorHAnsi"/>
          <w:color w:val="auto"/>
          <w:sz w:val="22"/>
          <w:szCs w:val="22"/>
        </w:rPr>
        <w:t xml:space="preserve">A etapa de lances da sessão pública terá </w:t>
      </w:r>
      <w:r>
        <w:rPr>
          <w:rFonts w:asciiTheme="majorHAnsi" w:hAnsiTheme="majorHAnsi" w:cstheme="majorHAnsi"/>
          <w:b/>
          <w:bCs/>
          <w:color w:val="auto"/>
          <w:sz w:val="22"/>
          <w:szCs w:val="22"/>
          <w:shd w:val="clear" w:fill="F2B1BC"/>
        </w:rPr>
        <w:t xml:space="preserve">duração de </w:t>
      </w:r>
      <w:r>
        <w:rPr>
          <w:rFonts w:hint="default" w:asciiTheme="majorHAnsi" w:hAnsiTheme="majorHAnsi" w:cstheme="majorHAnsi"/>
          <w:b/>
          <w:bCs/>
          <w:color w:val="auto"/>
          <w:sz w:val="22"/>
          <w:szCs w:val="22"/>
          <w:shd w:val="clear" w:fill="F2B1BC"/>
          <w:lang w:val="pt-BR"/>
        </w:rPr>
        <w:t>oito</w:t>
      </w:r>
      <w:r>
        <w:rPr>
          <w:rFonts w:asciiTheme="majorHAnsi" w:hAnsiTheme="majorHAnsi" w:cstheme="majorHAnsi"/>
          <w:b/>
          <w:bCs/>
          <w:color w:val="auto"/>
          <w:sz w:val="22"/>
          <w:szCs w:val="22"/>
          <w:shd w:val="clear" w:fill="F2B1BC"/>
        </w:rPr>
        <w:t xml:space="preserve"> minutos </w:t>
      </w:r>
      <w:r>
        <w:rPr>
          <w:rFonts w:asciiTheme="majorHAnsi" w:hAnsiTheme="majorHAnsi" w:cstheme="majorHAnsi"/>
          <w:color w:val="auto"/>
          <w:sz w:val="22"/>
          <w:szCs w:val="22"/>
        </w:rPr>
        <w:t>e, após isso, será prorrogada automaticamente pelo sistema quando houver lance ofertado nos últimos dois minutos do período de duração da sessão pública.</w:t>
      </w:r>
    </w:p>
    <w:p w14:paraId="17AFE96F">
      <w:pPr>
        <w:pStyle w:val="58"/>
        <w:keepNext w:val="0"/>
        <w:keepLines w:val="0"/>
        <w:pageBreakBefore w:val="0"/>
        <w:widowControl/>
        <w:numPr>
          <w:ilvl w:val="1"/>
          <w:numId w:val="0"/>
        </w:numPr>
        <w:kinsoku/>
        <w:wordWrap/>
        <w:overflowPunct/>
        <w:topLinePunct w:val="0"/>
        <w:autoSpaceDE/>
        <w:autoSpaceDN/>
        <w:bidi w:val="0"/>
        <w:adjustRightInd/>
        <w:snapToGrid/>
        <w:spacing w:before="0" w:after="0" w:line="240" w:lineRule="auto"/>
        <w:ind w:left="567" w:leftChars="0"/>
        <w:textAlignment w:val="auto"/>
        <w:rPr>
          <w:rFonts w:asciiTheme="majorHAnsi" w:hAnsiTheme="majorHAnsi" w:cstheme="majorHAnsi"/>
          <w:color w:val="auto"/>
          <w:sz w:val="22"/>
          <w:szCs w:val="22"/>
        </w:rPr>
      </w:pPr>
      <w:r>
        <w:rPr>
          <w:rFonts w:hint="default" w:asciiTheme="majorHAnsi" w:hAnsiTheme="majorHAnsi" w:cstheme="majorHAnsi"/>
          <w:color w:val="auto"/>
          <w:sz w:val="22"/>
          <w:szCs w:val="22"/>
          <w:lang w:val="pt-BR"/>
        </w:rPr>
        <w:t xml:space="preserve">5.11.3 </w:t>
      </w:r>
      <w:r>
        <w:rPr>
          <w:rFonts w:asciiTheme="majorHAnsi" w:hAnsiTheme="majorHAnsi" w:cstheme="majorHAnsi"/>
          <w:color w:val="auto"/>
          <w:sz w:val="22"/>
          <w:szCs w:val="22"/>
        </w:rPr>
        <w:t>A prorrogação automática da etapa de lances, de que trata o subitem anterior, será de dois minutos e ocorrerá sucessivamente sempre que houver lances enviados nesse período de prorrogação, inclusive no caso de lances intermediários.</w:t>
      </w:r>
    </w:p>
    <w:p w14:paraId="69BFA4F1">
      <w:pPr>
        <w:pStyle w:val="58"/>
        <w:keepNext w:val="0"/>
        <w:keepLines w:val="0"/>
        <w:pageBreakBefore w:val="0"/>
        <w:widowControl/>
        <w:numPr>
          <w:ilvl w:val="1"/>
          <w:numId w:val="0"/>
        </w:numPr>
        <w:kinsoku/>
        <w:wordWrap/>
        <w:overflowPunct/>
        <w:topLinePunct w:val="0"/>
        <w:autoSpaceDE/>
        <w:autoSpaceDN/>
        <w:bidi w:val="0"/>
        <w:adjustRightInd/>
        <w:snapToGrid/>
        <w:spacing w:before="0" w:after="0" w:line="240" w:lineRule="auto"/>
        <w:ind w:left="567" w:leftChars="0"/>
        <w:textAlignment w:val="auto"/>
        <w:rPr>
          <w:rFonts w:asciiTheme="majorHAnsi" w:hAnsiTheme="majorHAnsi" w:cstheme="majorHAnsi"/>
          <w:color w:val="auto"/>
          <w:sz w:val="22"/>
          <w:szCs w:val="22"/>
        </w:rPr>
      </w:pPr>
      <w:r>
        <w:rPr>
          <w:rFonts w:hint="default" w:asciiTheme="majorHAnsi" w:hAnsiTheme="majorHAnsi" w:cstheme="majorHAnsi"/>
          <w:color w:val="auto"/>
          <w:sz w:val="22"/>
          <w:szCs w:val="22"/>
          <w:lang w:val="pt-BR"/>
        </w:rPr>
        <w:t xml:space="preserve">5.11.4 </w:t>
      </w:r>
      <w:r>
        <w:rPr>
          <w:rFonts w:asciiTheme="majorHAnsi" w:hAnsiTheme="majorHAnsi" w:cstheme="majorHAnsi"/>
          <w:color w:val="auto"/>
          <w:sz w:val="22"/>
          <w:szCs w:val="22"/>
        </w:rPr>
        <w:t>Não havendo novos lances na forma estabelecida nos itens anteriores, a sessão pública encerrar-se-á automaticamente, e o sistema ordenará e divulgará os lances conforme a ordem final de classificação.</w:t>
      </w:r>
      <w:bookmarkEnd w:id="22"/>
    </w:p>
    <w:p w14:paraId="1B1D0412">
      <w:pPr>
        <w:pStyle w:val="58"/>
        <w:numPr>
          <w:ilvl w:val="1"/>
          <w:numId w:val="5"/>
        </w:numPr>
        <w:tabs>
          <w:tab w:val="left" w:pos="480"/>
        </w:tabs>
        <w:spacing w:after="0"/>
        <w:ind w:left="0" w:leftChars="0" w:firstLine="0" w:firstLineChars="0"/>
        <w:rPr>
          <w:rFonts w:asciiTheme="majorHAnsi" w:hAnsiTheme="majorHAnsi" w:cstheme="majorHAnsi"/>
          <w:sz w:val="22"/>
          <w:szCs w:val="22"/>
        </w:rPr>
      </w:pPr>
      <w:bookmarkStart w:id="23" w:name="_Hlk113631522"/>
      <w:bookmarkEnd w:id="23"/>
      <w:r>
        <w:rPr>
          <w:rFonts w:asciiTheme="majorHAnsi" w:hAnsiTheme="majorHAnsi" w:cstheme="majorHAnsi"/>
          <w:sz w:val="22"/>
          <w:szCs w:val="22"/>
        </w:rPr>
        <w:t xml:space="preserve">Durante o transcurso da sessão pública, os licitantes serão informados, em tempo real, do valor do menor lance registrado, vedada a identificação do licitante. </w:t>
      </w:r>
    </w:p>
    <w:p w14:paraId="7FA317F4">
      <w:pPr>
        <w:pStyle w:val="58"/>
        <w:numPr>
          <w:ilvl w:val="1"/>
          <w:numId w:val="5"/>
        </w:numPr>
        <w:tabs>
          <w:tab w:val="left" w:pos="480"/>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 xml:space="preserve">No caso de desconexão com o Pregoeiro, no decorrer da etapa competitiva do Pregão, o sistema eletrônico poderá permanecer acessível aos licitantes para a recepção dos lances. </w:t>
      </w:r>
    </w:p>
    <w:p w14:paraId="5BCF6127">
      <w:pPr>
        <w:pStyle w:val="58"/>
        <w:numPr>
          <w:ilvl w:val="1"/>
          <w:numId w:val="5"/>
        </w:numPr>
        <w:tabs>
          <w:tab w:val="left" w:pos="480"/>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Quando a desconexão do sistema eletrônico para o pregoeiro persistir por tempo super</w:t>
      </w:r>
      <w:r>
        <w:rPr>
          <w:rFonts w:asciiTheme="majorHAnsi" w:hAnsiTheme="majorHAnsi" w:cstheme="majorHAnsi"/>
          <w:color w:val="auto"/>
          <w:sz w:val="22"/>
          <w:szCs w:val="22"/>
        </w:rPr>
        <w:t xml:space="preserve">ior </w:t>
      </w:r>
      <w:r>
        <w:rPr>
          <w:rFonts w:asciiTheme="majorHAnsi" w:hAnsiTheme="majorHAnsi" w:cstheme="majorHAnsi"/>
          <w:color w:val="auto"/>
          <w:sz w:val="22"/>
          <w:szCs w:val="22"/>
          <w:highlight w:val="none"/>
        </w:rPr>
        <w:t>a 3 (três) horas</w:t>
      </w:r>
      <w:r>
        <w:rPr>
          <w:rFonts w:asciiTheme="majorHAnsi" w:hAnsiTheme="majorHAnsi" w:cstheme="majorHAnsi"/>
          <w:color w:val="auto"/>
          <w:sz w:val="22"/>
          <w:szCs w:val="22"/>
        </w:rPr>
        <w:t xml:space="preserve"> a sessão p</w:t>
      </w:r>
      <w:r>
        <w:rPr>
          <w:rFonts w:asciiTheme="majorHAnsi" w:hAnsiTheme="majorHAnsi" w:cstheme="majorHAnsi"/>
          <w:sz w:val="22"/>
          <w:szCs w:val="22"/>
        </w:rPr>
        <w:t>ública será suspensa e reiniciada somente após decorridas vinte e quatro horas da comunicação do fato pelo Pregoeiro aos participantes, no sítio eletrônico utilizado para divulgação.</w:t>
      </w:r>
    </w:p>
    <w:p w14:paraId="0955B142">
      <w:pPr>
        <w:pStyle w:val="58"/>
        <w:numPr>
          <w:ilvl w:val="1"/>
          <w:numId w:val="5"/>
        </w:numPr>
        <w:tabs>
          <w:tab w:val="left" w:pos="480"/>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Caso o licitante não apresente lances, concorrerá com o valor de sua proposta.</w:t>
      </w:r>
    </w:p>
    <w:p w14:paraId="4409AC25">
      <w:pPr>
        <w:pStyle w:val="58"/>
        <w:numPr>
          <w:ilvl w:val="1"/>
          <w:numId w:val="5"/>
        </w:numPr>
        <w:tabs>
          <w:tab w:val="left" w:pos="480"/>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Encerrada a etapa de lances</w:t>
      </w:r>
      <w:r>
        <w:rPr>
          <w:rFonts w:eastAsia="Zurich BT" w:asciiTheme="majorHAnsi" w:hAnsiTheme="majorHAnsi" w:cstheme="majorHAnsi"/>
          <w:sz w:val="22"/>
          <w:szCs w:val="22"/>
        </w:rPr>
        <w:t xml:space="preserve">, o sistema identificará as microempresas e empresas de pequeno porte participantes, procedendo à comparação com os valores da primeira colocada para o fim de aplicar-se o disposto nos arts. 44 e 45 da Lei Complementar nº 123, de 2006. </w:t>
      </w:r>
    </w:p>
    <w:p w14:paraId="1BC681B0">
      <w:pPr>
        <w:pStyle w:val="60"/>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firstLine="709"/>
        <w:textAlignment w:val="auto"/>
        <w:rPr>
          <w:rFonts w:asciiTheme="majorHAnsi" w:hAnsiTheme="majorHAnsi" w:cstheme="majorHAnsi"/>
          <w:sz w:val="22"/>
          <w:szCs w:val="22"/>
        </w:rPr>
      </w:pPr>
      <w:r>
        <w:rPr>
          <w:rFonts w:asciiTheme="majorHAnsi" w:hAnsiTheme="majorHAnsi" w:cstheme="majorHAnsi"/>
          <w:sz w:val="22"/>
          <w:szCs w:val="22"/>
        </w:rPr>
        <w:t xml:space="preserve">Nessas condições, as propostas de </w:t>
      </w:r>
      <w:r>
        <w:rPr>
          <w:rFonts w:eastAsia="Zurich BT" w:asciiTheme="majorHAnsi" w:hAnsiTheme="majorHAnsi" w:cstheme="majorHAnsi"/>
          <w:sz w:val="22"/>
          <w:szCs w:val="22"/>
        </w:rPr>
        <w:t xml:space="preserve">microempresas e empresas de pequeno porte </w:t>
      </w:r>
      <w:r>
        <w:rPr>
          <w:rFonts w:asciiTheme="majorHAnsi" w:hAnsiTheme="majorHAnsi" w:cstheme="majorHAnsi"/>
          <w:sz w:val="22"/>
          <w:szCs w:val="22"/>
        </w:rPr>
        <w:t>que se encontrarem na faixa de até 5% (cinco por cento) acima da melhor proposta ou melhor lance serão consideradas empatadas com a primeira colocada.</w:t>
      </w:r>
    </w:p>
    <w:p w14:paraId="6663F65D">
      <w:pPr>
        <w:pStyle w:val="60"/>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firstLine="709"/>
        <w:textAlignment w:val="auto"/>
        <w:rPr>
          <w:rFonts w:asciiTheme="majorHAnsi" w:hAnsiTheme="majorHAnsi" w:cstheme="majorHAnsi"/>
          <w:sz w:val="22"/>
          <w:szCs w:val="22"/>
        </w:rPr>
      </w:pPr>
      <w:r>
        <w:rPr>
          <w:rFonts w:asciiTheme="majorHAnsi" w:hAnsiTheme="majorHAnsi" w:cstheme="majorHAnsi"/>
          <w:sz w:val="22"/>
          <w:szCs w:val="22"/>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039A8284">
      <w:pPr>
        <w:pStyle w:val="60"/>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firstLine="709"/>
        <w:textAlignment w:val="auto"/>
        <w:rPr>
          <w:rFonts w:asciiTheme="majorHAnsi" w:hAnsiTheme="majorHAnsi" w:cstheme="majorHAnsi"/>
          <w:sz w:val="22"/>
          <w:szCs w:val="22"/>
        </w:rPr>
      </w:pPr>
      <w:r>
        <w:rPr>
          <w:rFonts w:asciiTheme="majorHAnsi" w:hAnsiTheme="majorHAnsi" w:cstheme="majorHAnsi"/>
          <w:sz w:val="22"/>
          <w:szCs w:val="22"/>
        </w:rPr>
        <w:t xml:space="preserve">Caso a </w:t>
      </w:r>
      <w:r>
        <w:rPr>
          <w:rFonts w:eastAsia="Zurich BT" w:asciiTheme="majorHAnsi" w:hAnsiTheme="majorHAnsi" w:cstheme="majorHAnsi"/>
          <w:sz w:val="22"/>
          <w:szCs w:val="22"/>
        </w:rPr>
        <w:t>microempresa ou a empresa de pequeno porte</w:t>
      </w:r>
      <w:r>
        <w:rPr>
          <w:rFonts w:asciiTheme="majorHAnsi" w:hAnsiTheme="majorHAnsi" w:cstheme="majorHAnsi"/>
          <w:sz w:val="22"/>
          <w:szCs w:val="22"/>
        </w:rPr>
        <w:t xml:space="preserve"> melhor classificada desista ou não se manifeste no prazo estabelecido, serão convocadas as demais licitantes </w:t>
      </w:r>
      <w:r>
        <w:rPr>
          <w:rFonts w:eastAsia="Zurich BT" w:asciiTheme="majorHAnsi" w:hAnsiTheme="majorHAnsi" w:cstheme="majorHAnsi"/>
          <w:sz w:val="22"/>
          <w:szCs w:val="22"/>
        </w:rPr>
        <w:t>microempresa e empresa de pequeno porte</w:t>
      </w:r>
      <w:r>
        <w:rPr>
          <w:rFonts w:asciiTheme="majorHAnsi" w:hAnsiTheme="majorHAnsi" w:cstheme="majorHAnsi"/>
          <w:sz w:val="22"/>
          <w:szCs w:val="22"/>
        </w:rPr>
        <w:t xml:space="preserve"> que se encontrem naquele intervalo de 5% (cinco por cento), na ordem de classificação, para o exercício do mesmo direito, no prazo estabelecido no subitem anterior. </w:t>
      </w:r>
    </w:p>
    <w:p w14:paraId="6E8B4D42">
      <w:pPr>
        <w:pStyle w:val="58"/>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leftChars="0" w:firstLine="720" w:firstLineChars="0"/>
        <w:textAlignment w:val="auto"/>
        <w:rPr>
          <w:rFonts w:asciiTheme="majorHAnsi" w:hAnsiTheme="majorHAnsi" w:cstheme="majorHAnsi"/>
          <w:sz w:val="22"/>
          <w:szCs w:val="22"/>
        </w:rPr>
      </w:pPr>
      <w:r>
        <w:rPr>
          <w:rFonts w:asciiTheme="majorHAnsi" w:hAnsiTheme="majorHAnsi" w:cstheme="majorHAnsi"/>
          <w:sz w:val="22"/>
          <w:szCs w:val="22"/>
        </w:rPr>
        <w:t xml:space="preserve"> </w:t>
      </w:r>
      <w:r>
        <w:rPr>
          <w:rFonts w:eastAsia="Zurich BT" w:asciiTheme="majorHAnsi" w:hAnsiTheme="majorHAnsi" w:cstheme="majorHAnsi"/>
          <w:sz w:val="22"/>
          <w:szCs w:val="22"/>
        </w:rPr>
        <w:t>Não se aplicará o desempate de que tratam os arts. 44 e 45 da Lei Complementar nº 123/2006, quando a primeira colocada também tiver se declarado microempresa ou empresa de pequeno porte.</w:t>
      </w:r>
    </w:p>
    <w:p w14:paraId="6696C336">
      <w:pPr>
        <w:pStyle w:val="60"/>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firstLine="709"/>
        <w:textAlignment w:val="auto"/>
        <w:rPr>
          <w:rFonts w:asciiTheme="majorHAnsi" w:hAnsiTheme="majorHAnsi" w:cstheme="majorHAnsi"/>
          <w:sz w:val="22"/>
          <w:szCs w:val="22"/>
        </w:rPr>
      </w:pPr>
      <w:r>
        <w:rPr>
          <w:rFonts w:asciiTheme="majorHAnsi" w:hAnsiTheme="majorHAnsi" w:cstheme="majorHAnsi"/>
          <w:sz w:val="22"/>
          <w:szCs w:val="22"/>
        </w:rPr>
        <w:t xml:space="preserve">Havendo empate entre propostas ou lances, o critério de desempate será aquele previsto no </w:t>
      </w:r>
      <w:r>
        <w:rPr>
          <w:rFonts w:eastAsia="Arial" w:asciiTheme="majorHAnsi" w:hAnsiTheme="majorHAnsi" w:cstheme="majorHAnsi"/>
          <w:sz w:val="22"/>
          <w:szCs w:val="22"/>
        </w:rPr>
        <w:t>art</w:t>
      </w:r>
      <w:r>
        <w:rPr>
          <w:rFonts w:asciiTheme="majorHAnsi" w:hAnsiTheme="majorHAnsi" w:cstheme="majorHAnsi"/>
          <w:sz w:val="22"/>
          <w:szCs w:val="22"/>
        </w:rPr>
        <w:t>. 60 da Lei nº 14.133, de 2021, nesta ordem:</w:t>
      </w:r>
    </w:p>
    <w:p w14:paraId="5BCC5140">
      <w:pPr>
        <w:pStyle w:val="61"/>
        <w:keepNext w:val="0"/>
        <w:keepLines w:val="0"/>
        <w:pageBreakBefore w:val="0"/>
        <w:widowControl/>
        <w:numPr>
          <w:ilvl w:val="3"/>
          <w:numId w:val="5"/>
        </w:numPr>
        <w:tabs>
          <w:tab w:val="left" w:pos="1920"/>
          <w:tab w:val="left" w:pos="2160"/>
          <w:tab w:val="left" w:pos="2400"/>
        </w:tabs>
        <w:kinsoku/>
        <w:wordWrap/>
        <w:overflowPunct/>
        <w:topLinePunct w:val="0"/>
        <w:autoSpaceDE/>
        <w:autoSpaceDN/>
        <w:bidi w:val="0"/>
        <w:adjustRightInd/>
        <w:snapToGrid/>
        <w:spacing w:before="0" w:after="0" w:line="240" w:lineRule="auto"/>
        <w:ind w:left="0" w:leftChars="0" w:firstLine="1440" w:firstLineChars="0"/>
        <w:textAlignment w:val="auto"/>
        <w:rPr>
          <w:rFonts w:asciiTheme="majorHAnsi" w:hAnsiTheme="majorHAnsi" w:cstheme="majorHAnsi"/>
          <w:sz w:val="22"/>
          <w:szCs w:val="22"/>
        </w:rPr>
      </w:pPr>
      <w:r>
        <w:rPr>
          <w:rFonts w:asciiTheme="majorHAnsi" w:hAnsiTheme="majorHAnsi" w:cstheme="majorHAnsi"/>
          <w:sz w:val="22"/>
          <w:szCs w:val="22"/>
        </w:rPr>
        <w:t>disputa final, hipótese em que os licitantes empatados poderão apresentar nova proposta em ato contínuo à classificação;</w:t>
      </w:r>
    </w:p>
    <w:p w14:paraId="3E8499E0">
      <w:pPr>
        <w:pStyle w:val="61"/>
        <w:keepNext w:val="0"/>
        <w:keepLines w:val="0"/>
        <w:pageBreakBefore w:val="0"/>
        <w:widowControl/>
        <w:numPr>
          <w:ilvl w:val="3"/>
          <w:numId w:val="5"/>
        </w:numPr>
        <w:tabs>
          <w:tab w:val="left" w:pos="1920"/>
          <w:tab w:val="left" w:pos="2160"/>
          <w:tab w:val="left" w:pos="2400"/>
        </w:tabs>
        <w:kinsoku/>
        <w:wordWrap/>
        <w:overflowPunct/>
        <w:topLinePunct w:val="0"/>
        <w:autoSpaceDE/>
        <w:autoSpaceDN/>
        <w:bidi w:val="0"/>
        <w:adjustRightInd/>
        <w:snapToGrid/>
        <w:spacing w:before="0" w:after="0" w:line="240" w:lineRule="auto"/>
        <w:ind w:left="0" w:leftChars="0" w:firstLine="1440" w:firstLineChars="0"/>
        <w:textAlignment w:val="auto"/>
        <w:rPr>
          <w:rFonts w:asciiTheme="majorHAnsi" w:hAnsiTheme="majorHAnsi" w:cstheme="majorHAnsi"/>
          <w:sz w:val="22"/>
          <w:szCs w:val="22"/>
        </w:rPr>
      </w:pPr>
      <w:r>
        <w:rPr>
          <w:rFonts w:asciiTheme="majorHAnsi" w:hAnsiTheme="majorHAnsi" w:cstheme="majorHAnsi"/>
          <w:sz w:val="22"/>
          <w:szCs w:val="22"/>
        </w:rPr>
        <w:t>avaliação do desempenho contratual prévio dos licitantes, para a qual deverão preferencialmente ser utilizados registros cadastrais para efeito de atesto de cumprimento de obrigações previstos nesta Lei;</w:t>
      </w:r>
    </w:p>
    <w:p w14:paraId="129AB4E5">
      <w:pPr>
        <w:pStyle w:val="61"/>
        <w:keepNext w:val="0"/>
        <w:keepLines w:val="0"/>
        <w:pageBreakBefore w:val="0"/>
        <w:widowControl/>
        <w:numPr>
          <w:ilvl w:val="3"/>
          <w:numId w:val="5"/>
        </w:numPr>
        <w:tabs>
          <w:tab w:val="left" w:pos="1920"/>
          <w:tab w:val="left" w:pos="2160"/>
          <w:tab w:val="left" w:pos="2400"/>
        </w:tabs>
        <w:kinsoku/>
        <w:wordWrap/>
        <w:overflowPunct/>
        <w:topLinePunct w:val="0"/>
        <w:autoSpaceDE/>
        <w:autoSpaceDN/>
        <w:bidi w:val="0"/>
        <w:adjustRightInd/>
        <w:snapToGrid/>
        <w:spacing w:before="0" w:after="0" w:line="240" w:lineRule="auto"/>
        <w:ind w:left="0" w:leftChars="0" w:firstLine="1440" w:firstLineChars="0"/>
        <w:textAlignment w:val="auto"/>
        <w:rPr>
          <w:rFonts w:asciiTheme="majorHAnsi" w:hAnsiTheme="majorHAnsi" w:cstheme="majorHAnsi"/>
          <w:sz w:val="22"/>
          <w:szCs w:val="22"/>
        </w:rPr>
      </w:pPr>
      <w:r>
        <w:rPr>
          <w:rFonts w:asciiTheme="majorHAnsi" w:hAnsiTheme="majorHAnsi" w:cstheme="majorHAnsi"/>
          <w:sz w:val="22"/>
          <w:szCs w:val="22"/>
        </w:rPr>
        <w:t>desenvolvimento pelo licitante de ações de equidade entre homens e mulheres no ambiente de trabalho, conforme regulamento;</w:t>
      </w:r>
    </w:p>
    <w:p w14:paraId="7C4A0EFA">
      <w:pPr>
        <w:pStyle w:val="61"/>
        <w:keepNext w:val="0"/>
        <w:keepLines w:val="0"/>
        <w:pageBreakBefore w:val="0"/>
        <w:widowControl/>
        <w:numPr>
          <w:ilvl w:val="3"/>
          <w:numId w:val="5"/>
        </w:numPr>
        <w:tabs>
          <w:tab w:val="left" w:pos="1920"/>
          <w:tab w:val="left" w:pos="2160"/>
          <w:tab w:val="left" w:pos="2400"/>
        </w:tabs>
        <w:kinsoku/>
        <w:wordWrap/>
        <w:overflowPunct/>
        <w:topLinePunct w:val="0"/>
        <w:autoSpaceDE/>
        <w:autoSpaceDN/>
        <w:bidi w:val="0"/>
        <w:adjustRightInd/>
        <w:snapToGrid/>
        <w:spacing w:before="0" w:after="0" w:line="240" w:lineRule="auto"/>
        <w:ind w:left="0" w:leftChars="0" w:firstLine="1440" w:firstLineChars="0"/>
        <w:textAlignment w:val="auto"/>
        <w:rPr>
          <w:rFonts w:asciiTheme="majorHAnsi" w:hAnsiTheme="majorHAnsi" w:cstheme="majorHAnsi"/>
          <w:sz w:val="22"/>
          <w:szCs w:val="22"/>
        </w:rPr>
      </w:pPr>
      <w:r>
        <w:rPr>
          <w:rFonts w:asciiTheme="majorHAnsi" w:hAnsiTheme="majorHAnsi" w:cstheme="majorHAnsi"/>
          <w:sz w:val="22"/>
          <w:szCs w:val="22"/>
        </w:rPr>
        <w:t>desenvolvimento pelo licitante de programa de integridade (</w:t>
      </w:r>
      <w:r>
        <w:rPr>
          <w:rFonts w:asciiTheme="majorHAnsi" w:hAnsiTheme="majorHAnsi" w:cstheme="majorHAnsi"/>
          <w:i/>
          <w:iCs/>
          <w:sz w:val="22"/>
          <w:szCs w:val="22"/>
        </w:rPr>
        <w:t>compliance</w:t>
      </w:r>
      <w:r>
        <w:rPr>
          <w:rFonts w:asciiTheme="majorHAnsi" w:hAnsiTheme="majorHAnsi" w:cstheme="majorHAnsi"/>
          <w:sz w:val="22"/>
          <w:szCs w:val="22"/>
        </w:rPr>
        <w:t>), conforme orientações dos órgãos de controle.</w:t>
      </w:r>
    </w:p>
    <w:p w14:paraId="7630870F">
      <w:pPr>
        <w:pStyle w:val="60"/>
        <w:numPr>
          <w:ilvl w:val="2"/>
          <w:numId w:val="5"/>
        </w:numPr>
        <w:spacing w:after="0"/>
        <w:ind w:left="0" w:leftChars="0" w:firstLine="720" w:firstLineChars="0"/>
        <w:rPr>
          <w:rFonts w:asciiTheme="majorHAnsi" w:hAnsiTheme="majorHAnsi" w:cstheme="majorHAnsi"/>
          <w:sz w:val="22"/>
          <w:szCs w:val="22"/>
        </w:rPr>
      </w:pPr>
      <w:r>
        <w:rPr>
          <w:rFonts w:asciiTheme="majorHAnsi" w:hAnsiTheme="majorHAnsi" w:cstheme="majorHAnsi"/>
          <w:sz w:val="22"/>
          <w:szCs w:val="22"/>
        </w:rPr>
        <w:t>Persistindo o empate, será assegurada preferência, sucessivamente, aos bens e serviços produzidos ou prestados por:</w:t>
      </w:r>
    </w:p>
    <w:p w14:paraId="5D58B660">
      <w:pPr>
        <w:pStyle w:val="61"/>
        <w:keepNext w:val="0"/>
        <w:keepLines w:val="0"/>
        <w:pageBreakBefore w:val="0"/>
        <w:widowControl/>
        <w:numPr>
          <w:ilvl w:val="3"/>
          <w:numId w:val="5"/>
        </w:numPr>
        <w:tabs>
          <w:tab w:val="left" w:pos="2400"/>
          <w:tab w:val="left" w:pos="2640"/>
        </w:tabs>
        <w:kinsoku/>
        <w:wordWrap/>
        <w:overflowPunct/>
        <w:topLinePunct w:val="0"/>
        <w:autoSpaceDE/>
        <w:autoSpaceDN/>
        <w:bidi w:val="0"/>
        <w:adjustRightInd/>
        <w:snapToGrid/>
        <w:spacing w:before="0" w:after="0" w:line="240" w:lineRule="auto"/>
        <w:ind w:left="0" w:leftChars="0" w:firstLine="1440" w:firstLineChars="0"/>
        <w:textAlignment w:val="auto"/>
        <w:rPr>
          <w:rFonts w:asciiTheme="majorHAnsi" w:hAnsiTheme="majorHAnsi" w:cstheme="majorHAnsi"/>
          <w:sz w:val="22"/>
          <w:szCs w:val="22"/>
        </w:rPr>
      </w:pPr>
      <w:bookmarkStart w:id="24" w:name="art60§1i"/>
      <w:bookmarkEnd w:id="24"/>
      <w:r>
        <w:rPr>
          <w:rFonts w:asciiTheme="majorHAnsi" w:hAnsiTheme="majorHAnsi" w:cstheme="majorHAnsi"/>
          <w:sz w:val="22"/>
          <w:szCs w:val="22"/>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62780533">
      <w:pPr>
        <w:pStyle w:val="61"/>
        <w:keepNext w:val="0"/>
        <w:keepLines w:val="0"/>
        <w:pageBreakBefore w:val="0"/>
        <w:widowControl/>
        <w:numPr>
          <w:ilvl w:val="3"/>
          <w:numId w:val="5"/>
        </w:numPr>
        <w:tabs>
          <w:tab w:val="left" w:pos="2400"/>
        </w:tabs>
        <w:kinsoku/>
        <w:wordWrap/>
        <w:overflowPunct/>
        <w:topLinePunct w:val="0"/>
        <w:autoSpaceDE/>
        <w:autoSpaceDN/>
        <w:bidi w:val="0"/>
        <w:adjustRightInd/>
        <w:snapToGrid/>
        <w:spacing w:before="0" w:after="0" w:line="240" w:lineRule="auto"/>
        <w:ind w:left="0" w:leftChars="0" w:firstLine="1440" w:firstLineChars="0"/>
        <w:textAlignment w:val="auto"/>
        <w:rPr>
          <w:rFonts w:asciiTheme="majorHAnsi" w:hAnsiTheme="majorHAnsi" w:cstheme="majorHAnsi"/>
          <w:sz w:val="22"/>
          <w:szCs w:val="22"/>
        </w:rPr>
      </w:pPr>
      <w:bookmarkStart w:id="25" w:name="art60§1ii"/>
      <w:bookmarkEnd w:id="25"/>
      <w:r>
        <w:rPr>
          <w:rFonts w:asciiTheme="majorHAnsi" w:hAnsiTheme="majorHAnsi" w:cstheme="majorHAnsi"/>
          <w:sz w:val="22"/>
          <w:szCs w:val="22"/>
        </w:rPr>
        <w:t>empresas brasileiras;</w:t>
      </w:r>
    </w:p>
    <w:p w14:paraId="31E37728">
      <w:pPr>
        <w:pStyle w:val="61"/>
        <w:keepNext w:val="0"/>
        <w:keepLines w:val="0"/>
        <w:pageBreakBefore w:val="0"/>
        <w:widowControl/>
        <w:numPr>
          <w:ilvl w:val="3"/>
          <w:numId w:val="5"/>
        </w:numPr>
        <w:tabs>
          <w:tab w:val="left" w:pos="2400"/>
        </w:tabs>
        <w:kinsoku/>
        <w:wordWrap/>
        <w:overflowPunct/>
        <w:topLinePunct w:val="0"/>
        <w:autoSpaceDE/>
        <w:autoSpaceDN/>
        <w:bidi w:val="0"/>
        <w:adjustRightInd/>
        <w:snapToGrid/>
        <w:spacing w:before="0" w:after="0" w:line="240" w:lineRule="auto"/>
        <w:ind w:left="0" w:leftChars="0" w:firstLine="1440" w:firstLineChars="0"/>
        <w:textAlignment w:val="auto"/>
        <w:rPr>
          <w:rFonts w:asciiTheme="majorHAnsi" w:hAnsiTheme="majorHAnsi" w:cstheme="majorHAnsi"/>
          <w:sz w:val="22"/>
          <w:szCs w:val="22"/>
        </w:rPr>
      </w:pPr>
      <w:bookmarkStart w:id="26" w:name="art60§1iii"/>
      <w:bookmarkEnd w:id="26"/>
      <w:r>
        <w:rPr>
          <w:rFonts w:asciiTheme="majorHAnsi" w:hAnsiTheme="majorHAnsi" w:cstheme="majorHAnsi"/>
          <w:sz w:val="22"/>
          <w:szCs w:val="22"/>
        </w:rPr>
        <w:t>empresas que invistam em pesquisa e no desenvolvimento de tecnologia no País;</w:t>
      </w:r>
    </w:p>
    <w:p w14:paraId="647D1043">
      <w:pPr>
        <w:pStyle w:val="61"/>
        <w:keepNext w:val="0"/>
        <w:keepLines w:val="0"/>
        <w:pageBreakBefore w:val="0"/>
        <w:widowControl/>
        <w:numPr>
          <w:ilvl w:val="3"/>
          <w:numId w:val="5"/>
        </w:numPr>
        <w:tabs>
          <w:tab w:val="left" w:pos="1920"/>
          <w:tab w:val="left" w:pos="2400"/>
        </w:tabs>
        <w:kinsoku/>
        <w:wordWrap/>
        <w:overflowPunct/>
        <w:topLinePunct w:val="0"/>
        <w:autoSpaceDE/>
        <w:autoSpaceDN/>
        <w:bidi w:val="0"/>
        <w:adjustRightInd/>
        <w:snapToGrid/>
        <w:spacing w:before="0" w:after="361" w:afterLines="100" w:line="240" w:lineRule="auto"/>
        <w:ind w:left="0" w:leftChars="0" w:firstLine="1440" w:firstLineChars="0"/>
        <w:textAlignment w:val="auto"/>
        <w:rPr>
          <w:rFonts w:asciiTheme="majorHAnsi" w:hAnsiTheme="majorHAnsi" w:cstheme="majorHAnsi"/>
          <w:sz w:val="22"/>
          <w:szCs w:val="22"/>
        </w:rPr>
      </w:pPr>
      <w:bookmarkStart w:id="27" w:name="art60§1iv"/>
      <w:bookmarkEnd w:id="27"/>
      <w:r>
        <w:rPr>
          <w:rFonts w:asciiTheme="majorHAnsi" w:hAnsiTheme="majorHAnsi" w:cstheme="majorHAnsi"/>
          <w:sz w:val="22"/>
          <w:szCs w:val="22"/>
        </w:rPr>
        <w:t>empresas que comprovem a prática de mitigação, nos termos da Lei nº 12.187, de 29 de dezembro de 2009.</w:t>
      </w:r>
    </w:p>
    <w:p w14:paraId="1A8084E3">
      <w:pPr>
        <w:pStyle w:val="58"/>
        <w:keepNext w:val="0"/>
        <w:keepLines w:val="0"/>
        <w:pageBreakBefore w:val="0"/>
        <w:widowControl/>
        <w:numPr>
          <w:ilvl w:val="1"/>
          <w:numId w:val="5"/>
        </w:numPr>
        <w:tabs>
          <w:tab w:val="left" w:pos="480"/>
        </w:tabs>
        <w:kinsoku/>
        <w:wordWrap/>
        <w:overflowPunct/>
        <w:topLinePunct w:val="0"/>
        <w:autoSpaceDE/>
        <w:autoSpaceDN/>
        <w:bidi w:val="0"/>
        <w:adjustRightInd/>
        <w:snapToGrid/>
        <w:spacing w:before="0" w:after="0" w:line="240" w:lineRule="auto"/>
        <w:ind w:left="0" w:leftChars="0" w:firstLine="0" w:firstLineChars="0"/>
        <w:textAlignment w:val="auto"/>
        <w:rPr>
          <w:rFonts w:asciiTheme="majorHAnsi" w:hAnsiTheme="majorHAnsi" w:cstheme="majorHAnsi"/>
          <w:sz w:val="22"/>
          <w:szCs w:val="22"/>
        </w:rPr>
      </w:pPr>
      <w:r>
        <w:rPr>
          <w:rFonts w:asciiTheme="majorHAnsi" w:hAnsiTheme="majorHAnsi" w:cstheme="majorHAnsi"/>
          <w:sz w:val="22"/>
          <w:szCs w:val="22"/>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418925EC">
      <w:pPr>
        <w:pStyle w:val="60"/>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874EDE4">
      <w:pPr>
        <w:pStyle w:val="60"/>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firstLine="567"/>
        <w:textAlignment w:val="auto"/>
        <w:rPr>
          <w:rFonts w:eastAsia="Times New Roman" w:asciiTheme="majorHAnsi" w:hAnsiTheme="majorHAnsi" w:cstheme="majorHAnsi"/>
          <w:sz w:val="22"/>
          <w:szCs w:val="22"/>
        </w:rPr>
      </w:pPr>
      <w:r>
        <w:rPr>
          <w:rFonts w:eastAsia="Times New Roman" w:asciiTheme="majorHAnsi" w:hAnsiTheme="majorHAnsi" w:cstheme="majorHAnsi"/>
          <w:sz w:val="22"/>
          <w:szCs w:val="22"/>
        </w:rPr>
        <w:t xml:space="preserve">A </w:t>
      </w:r>
      <w:r>
        <w:rPr>
          <w:rFonts w:asciiTheme="majorHAnsi" w:hAnsiTheme="majorHAnsi" w:cstheme="majorHAnsi"/>
          <w:sz w:val="22"/>
          <w:szCs w:val="22"/>
        </w:rPr>
        <w:t>negociação será realizada por meio do sistema, podendo ser acompanhada pelos demais licitantes.</w:t>
      </w:r>
    </w:p>
    <w:p w14:paraId="6BFF3BAF">
      <w:pPr>
        <w:pStyle w:val="60"/>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firstLine="567"/>
        <w:textAlignment w:val="auto"/>
        <w:rPr>
          <w:rFonts w:eastAsia="Times New Roman" w:asciiTheme="majorHAnsi" w:hAnsiTheme="majorHAnsi" w:cstheme="majorHAnsi"/>
          <w:sz w:val="22"/>
          <w:szCs w:val="22"/>
        </w:rPr>
      </w:pPr>
      <w:r>
        <w:rPr>
          <w:rFonts w:eastAsia="Times New Roman" w:asciiTheme="majorHAnsi" w:hAnsiTheme="majorHAnsi" w:cstheme="majorHAnsi"/>
          <w:sz w:val="22"/>
          <w:szCs w:val="22"/>
        </w:rPr>
        <w:t>O resultado da negociação será divulgado a todos os licitantes e anexado aos autos do processo licitatório.</w:t>
      </w:r>
    </w:p>
    <w:p w14:paraId="42F1AC54">
      <w:pPr>
        <w:pStyle w:val="131"/>
        <w:widowControl/>
        <w:shd w:val="clear" w:color="auto"/>
        <w:spacing w:line="300" w:lineRule="atLeast"/>
        <w:jc w:val="both"/>
        <w:rPr>
          <w:rFonts w:hint="default" w:ascii="Calibri" w:hAnsi="Calibri" w:eastAsia="SimSun" w:cs="Calibri"/>
          <w:b/>
          <w:bCs/>
          <w:color w:val="auto"/>
          <w:sz w:val="21"/>
          <w:szCs w:val="21"/>
          <w:lang w:val="pt-BR"/>
        </w:rPr>
      </w:pPr>
    </w:p>
    <w:p w14:paraId="1E0DF3DE">
      <w:pPr>
        <w:pStyle w:val="131"/>
        <w:keepNext w:val="0"/>
        <w:keepLines w:val="0"/>
        <w:pageBreakBefore w:val="0"/>
        <w:widowControl/>
        <w:shd w:val="clear" w:color="auto"/>
        <w:kinsoku/>
        <w:wordWrap/>
        <w:overflowPunct/>
        <w:topLinePunct w:val="0"/>
        <w:autoSpaceDE/>
        <w:autoSpaceDN/>
        <w:bidi w:val="0"/>
        <w:adjustRightInd/>
        <w:snapToGrid/>
        <w:spacing w:after="361" w:afterLines="100" w:line="300" w:lineRule="atLeast"/>
        <w:jc w:val="both"/>
        <w:textAlignment w:val="auto"/>
        <w:rPr>
          <w:rFonts w:hint="default" w:ascii="Calibri" w:hAnsi="Calibri" w:eastAsia="SimSun" w:cs="Calibri"/>
          <w:b/>
          <w:bCs/>
          <w:color w:val="auto"/>
          <w:sz w:val="21"/>
          <w:szCs w:val="21"/>
          <w:shd w:val="clear" w:fill="F2B1BC"/>
          <w:lang w:val="pt-BR"/>
        </w:rPr>
      </w:pPr>
      <w:r>
        <w:rPr>
          <w:rFonts w:hint="default" w:ascii="Calibri" w:hAnsi="Calibri" w:eastAsia="SimSun" w:cs="Calibri"/>
          <w:b/>
          <w:bCs/>
          <w:color w:val="auto"/>
          <w:sz w:val="21"/>
          <w:szCs w:val="21"/>
          <w:highlight w:val="none"/>
          <w:shd w:val="clear"/>
          <w:lang w:val="pt-BR"/>
        </w:rPr>
        <w:t>Observação :</w:t>
      </w:r>
      <w:r>
        <w:rPr>
          <w:rFonts w:hint="default" w:ascii="Calibri" w:hAnsi="Calibri" w:eastAsia="SimSun" w:cs="Calibri"/>
          <w:b/>
          <w:bCs/>
          <w:color w:val="auto"/>
          <w:sz w:val="21"/>
          <w:szCs w:val="21"/>
          <w:shd w:val="clear" w:color="auto" w:fill="F2B1BC"/>
          <w:lang w:val="pt-BR"/>
        </w:rPr>
        <w:t xml:space="preserve"> </w:t>
      </w:r>
      <w:r>
        <w:rPr>
          <w:rFonts w:ascii="Calibri" w:hAnsi="Calibri" w:eastAsia="SimSun" w:cs="Calibri"/>
          <w:b/>
          <w:bCs/>
          <w:color w:val="000000"/>
          <w:kern w:val="0"/>
          <w:sz w:val="22"/>
          <w:szCs w:val="22"/>
          <w:shd w:val="clear" w:color="auto" w:fill="F2B1BC"/>
          <w:lang w:val="en-US" w:eastAsia="zh-CN" w:bidi="ar"/>
        </w:rPr>
        <w:t>Encerrada a etapa de lances da sessão pública,</w:t>
      </w:r>
      <w:r>
        <w:rPr>
          <w:rFonts w:hint="default" w:ascii="Calibri" w:hAnsi="Calibri" w:eastAsia="SimSun" w:cs="Calibri"/>
          <w:b/>
          <w:bCs/>
          <w:color w:val="000000"/>
          <w:kern w:val="0"/>
          <w:sz w:val="22"/>
          <w:szCs w:val="22"/>
          <w:shd w:val="clear" w:color="auto" w:fill="F2B1BC"/>
          <w:lang w:val="pt-BR" w:eastAsia="zh-CN" w:bidi="ar"/>
        </w:rPr>
        <w:t xml:space="preserve"> na fase 06 “ Julgamento e aceitação das propostas)</w:t>
      </w:r>
      <w:r>
        <w:rPr>
          <w:rFonts w:ascii="Calibri" w:hAnsi="Calibri" w:eastAsia="SimSun" w:cs="Calibri"/>
          <w:b/>
          <w:bCs/>
          <w:color w:val="000000"/>
          <w:kern w:val="0"/>
          <w:sz w:val="22"/>
          <w:szCs w:val="22"/>
          <w:shd w:val="clear" w:color="auto" w:fill="F2B1BC"/>
          <w:lang w:val="en-US" w:eastAsia="zh-CN" w:bidi="ar"/>
        </w:rPr>
        <w:t xml:space="preserve"> o licitante melhor classificado </w:t>
      </w:r>
      <w:r>
        <w:rPr>
          <w:rFonts w:hint="default" w:ascii="Calibri" w:hAnsi="Calibri" w:eastAsia="SimSun" w:cs="Calibri"/>
          <w:b/>
          <w:bCs/>
          <w:color w:val="000000"/>
          <w:kern w:val="0"/>
          <w:sz w:val="22"/>
          <w:szCs w:val="22"/>
          <w:shd w:val="clear" w:color="auto" w:fill="F2B1BC"/>
          <w:lang w:val="pt-BR" w:eastAsia="zh-CN" w:bidi="ar"/>
        </w:rPr>
        <w:t>terá o</w:t>
      </w:r>
      <w:r>
        <w:rPr>
          <w:rFonts w:hint="default" w:ascii="Calibri" w:hAnsi="Calibri" w:eastAsia="SimSun" w:cs="Calibri"/>
          <w:b/>
          <w:bCs/>
          <w:color w:val="000000"/>
          <w:kern w:val="0"/>
          <w:sz w:val="22"/>
          <w:szCs w:val="22"/>
          <w:highlight w:val="cyan"/>
          <w:shd w:val="clear" w:color="auto" w:fill="F2B1BC"/>
          <w:lang w:val="pt-BR" w:eastAsia="zh-CN" w:bidi="ar"/>
        </w:rPr>
        <w:t xml:space="preserve"> prazo de até 30 minutos para </w:t>
      </w:r>
      <w:r>
        <w:rPr>
          <w:rFonts w:ascii="Calibri" w:hAnsi="Calibri" w:eastAsia="SimSun" w:cs="Calibri"/>
          <w:b/>
          <w:bCs/>
          <w:color w:val="000000"/>
          <w:kern w:val="0"/>
          <w:sz w:val="22"/>
          <w:szCs w:val="22"/>
          <w:highlight w:val="cyan"/>
          <w:shd w:val="clear" w:color="auto" w:fill="F2B1BC"/>
          <w:lang w:val="en-US" w:eastAsia="zh-CN" w:bidi="ar"/>
        </w:rPr>
        <w:t xml:space="preserve">redefinir o ultimo </w:t>
      </w:r>
      <w:r>
        <w:rPr>
          <w:rFonts w:hint="default" w:ascii="Calibri" w:hAnsi="Calibri" w:eastAsia="SimSun" w:cs="Calibri"/>
          <w:b/>
          <w:bCs/>
          <w:color w:val="000000"/>
          <w:kern w:val="0"/>
          <w:sz w:val="22"/>
          <w:szCs w:val="22"/>
          <w:highlight w:val="cyan"/>
          <w:shd w:val="clear" w:color="auto" w:fill="F2B1BC"/>
          <w:lang w:val="en-US" w:eastAsia="zh-CN" w:bidi="ar"/>
        </w:rPr>
        <w:t>lance</w:t>
      </w:r>
      <w:r>
        <w:rPr>
          <w:rFonts w:hint="default" w:ascii="Calibri" w:hAnsi="Calibri" w:eastAsia="SimSun" w:cs="Calibri"/>
          <w:b/>
          <w:bCs/>
          <w:color w:val="000000"/>
          <w:kern w:val="0"/>
          <w:sz w:val="22"/>
          <w:szCs w:val="22"/>
          <w:highlight w:val="cyan"/>
          <w:shd w:val="clear" w:color="auto" w:fill="F2B1BC"/>
          <w:lang w:val="pt-BR" w:eastAsia="zh-CN" w:bidi="ar"/>
        </w:rPr>
        <w:t xml:space="preserve"> </w:t>
      </w:r>
      <w:r>
        <w:rPr>
          <w:rFonts w:hint="default" w:ascii="Calibri" w:hAnsi="Calibri" w:eastAsia="SimSun" w:cs="Calibri"/>
          <w:b/>
          <w:bCs/>
          <w:color w:val="000000"/>
          <w:kern w:val="0"/>
          <w:sz w:val="22"/>
          <w:szCs w:val="22"/>
          <w:highlight w:val="cyan"/>
          <w:shd w:val="clear" w:color="auto" w:fill="F2B1BC"/>
          <w:lang w:val="en-US" w:eastAsia="zh-CN" w:bidi="ar"/>
        </w:rPr>
        <w:t>ofertado/vencedo</w:t>
      </w:r>
      <w:r>
        <w:rPr>
          <w:rFonts w:hint="default" w:ascii="Calibri" w:hAnsi="Calibri" w:eastAsia="SimSun" w:cs="Calibri"/>
          <w:b/>
          <w:bCs/>
          <w:color w:val="000000"/>
          <w:kern w:val="0"/>
          <w:sz w:val="22"/>
          <w:szCs w:val="22"/>
          <w:shd w:val="clear" w:color="auto" w:fill="F2B1BC"/>
          <w:lang w:val="en-US" w:eastAsia="zh-CN" w:bidi="ar"/>
        </w:rPr>
        <w:t>r, utilizando o botão próprio do sistema “redefinir valores”</w:t>
      </w:r>
      <w:r>
        <w:rPr>
          <w:rFonts w:hint="default" w:ascii="Calibri" w:hAnsi="Calibri" w:eastAsia="SimSun" w:cs="Calibri"/>
          <w:b/>
          <w:bCs/>
          <w:color w:val="000000"/>
          <w:kern w:val="0"/>
          <w:sz w:val="22"/>
          <w:szCs w:val="22"/>
          <w:shd w:val="clear" w:color="auto" w:fill="F2B1BC"/>
          <w:lang w:val="pt-BR" w:eastAsia="zh-CN" w:bidi="ar"/>
        </w:rPr>
        <w:t>, sob pena de desclassificação</w:t>
      </w:r>
    </w:p>
    <w:p w14:paraId="00C06B07">
      <w:pPr>
        <w:pStyle w:val="58"/>
        <w:numPr>
          <w:ilvl w:val="1"/>
          <w:numId w:val="5"/>
        </w:numPr>
        <w:tabs>
          <w:tab w:val="left" w:pos="480"/>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 xml:space="preserve">Será desclassificada a proposta que: </w:t>
      </w:r>
    </w:p>
    <w:p w14:paraId="77D0CA25">
      <w:pPr>
        <w:pStyle w:val="60"/>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contiver vícios insanáveis;</w:t>
      </w:r>
    </w:p>
    <w:p w14:paraId="5CCAF7FF">
      <w:pPr>
        <w:pStyle w:val="60"/>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não obedecer às especificações técnicas contidas no Termo de Referência;</w:t>
      </w:r>
    </w:p>
    <w:p w14:paraId="119E9842">
      <w:pPr>
        <w:pStyle w:val="60"/>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apresentar preços inexequíveis ou permanecerem acima do preço máximo definido para a contratação;</w:t>
      </w:r>
    </w:p>
    <w:p w14:paraId="170447CC">
      <w:pPr>
        <w:pStyle w:val="60"/>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não tiverem sua exequibilidade demonstrada, quando exigido pela Administração;</w:t>
      </w:r>
    </w:p>
    <w:p w14:paraId="2872B584">
      <w:pPr>
        <w:pStyle w:val="60"/>
        <w:keepNext w:val="0"/>
        <w:keepLines w:val="0"/>
        <w:pageBreakBefore w:val="0"/>
        <w:widowControl/>
        <w:numPr>
          <w:ilvl w:val="2"/>
          <w:numId w:val="5"/>
        </w:numPr>
        <w:kinsoku/>
        <w:wordWrap/>
        <w:overflowPunct/>
        <w:topLinePunct w:val="0"/>
        <w:autoSpaceDE/>
        <w:autoSpaceDN/>
        <w:bidi w:val="0"/>
        <w:adjustRightInd/>
        <w:snapToGrid/>
        <w:spacing w:before="0" w:after="361" w:afterLines="10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apresentar desconformidade com quaisquer outras exigências deste Edital ou seus anexos, desde que insanável.</w:t>
      </w:r>
    </w:p>
    <w:p w14:paraId="67A9C386">
      <w:pPr>
        <w:pStyle w:val="58"/>
        <w:keepNext w:val="0"/>
        <w:keepLines w:val="0"/>
        <w:pageBreakBefore w:val="0"/>
        <w:widowControl/>
        <w:numPr>
          <w:ilvl w:val="1"/>
          <w:numId w:val="5"/>
        </w:numPr>
        <w:tabs>
          <w:tab w:val="left" w:pos="480"/>
        </w:tabs>
        <w:kinsoku/>
        <w:wordWrap/>
        <w:overflowPunct/>
        <w:topLinePunct w:val="0"/>
        <w:autoSpaceDE/>
        <w:autoSpaceDN/>
        <w:bidi w:val="0"/>
        <w:adjustRightInd/>
        <w:snapToGrid/>
        <w:spacing w:before="0" w:after="0"/>
        <w:ind w:left="0" w:leftChars="0" w:firstLine="0" w:firstLineChars="0"/>
        <w:textAlignment w:val="auto"/>
        <w:rPr>
          <w:rFonts w:asciiTheme="majorHAnsi" w:hAnsiTheme="majorHAnsi" w:cstheme="majorHAnsi"/>
          <w:b/>
          <w:bCs/>
          <w:sz w:val="22"/>
          <w:szCs w:val="22"/>
        </w:rPr>
      </w:pPr>
      <w:r>
        <w:rPr>
          <w:rFonts w:asciiTheme="majorHAnsi" w:hAnsiTheme="majorHAnsi" w:cstheme="majorHAnsi"/>
          <w:sz w:val="22"/>
          <w:szCs w:val="22"/>
        </w:rPr>
        <w:t>No caso de bens e serviços em geral, é indício de inexequibilidade das propostas valores inferiores a 50% (cinquenta por cento) do valor orçado pela Administração.</w:t>
      </w:r>
    </w:p>
    <w:p w14:paraId="620610DB">
      <w:pPr>
        <w:pStyle w:val="60"/>
        <w:keepNext w:val="0"/>
        <w:keepLines w:val="0"/>
        <w:pageBreakBefore w:val="0"/>
        <w:widowControl/>
        <w:numPr>
          <w:ilvl w:val="2"/>
          <w:numId w:val="5"/>
        </w:numPr>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 xml:space="preserve">A inexequibilidade, na hipótese de que trata o </w:t>
      </w:r>
      <w:r>
        <w:rPr>
          <w:rFonts w:asciiTheme="majorHAnsi" w:hAnsiTheme="majorHAnsi" w:cstheme="majorHAnsi"/>
          <w:b/>
          <w:bCs/>
          <w:sz w:val="22"/>
          <w:szCs w:val="22"/>
        </w:rPr>
        <w:t>caput</w:t>
      </w:r>
      <w:r>
        <w:rPr>
          <w:rFonts w:asciiTheme="majorHAnsi" w:hAnsiTheme="majorHAnsi" w:cstheme="majorHAnsi"/>
          <w:sz w:val="22"/>
          <w:szCs w:val="22"/>
        </w:rPr>
        <w:t>, só será considerada após diligência do pregoeiro, que comprove:</w:t>
      </w:r>
    </w:p>
    <w:p w14:paraId="1BD93CE7">
      <w:pPr>
        <w:pStyle w:val="61"/>
        <w:keepNext w:val="0"/>
        <w:keepLines w:val="0"/>
        <w:pageBreakBefore w:val="0"/>
        <w:widowControl/>
        <w:numPr>
          <w:ilvl w:val="3"/>
          <w:numId w:val="5"/>
        </w:numPr>
        <w:tabs>
          <w:tab w:val="left" w:pos="2400"/>
        </w:tabs>
        <w:kinsoku/>
        <w:wordWrap/>
        <w:overflowPunct/>
        <w:topLinePunct w:val="0"/>
        <w:autoSpaceDE/>
        <w:autoSpaceDN/>
        <w:bidi w:val="0"/>
        <w:adjustRightInd/>
        <w:snapToGrid/>
        <w:spacing w:before="0" w:after="0" w:line="240" w:lineRule="auto"/>
        <w:ind w:left="0" w:leftChars="0" w:firstLine="1440" w:firstLineChars="0"/>
        <w:textAlignment w:val="auto"/>
        <w:rPr>
          <w:rFonts w:asciiTheme="majorHAnsi" w:hAnsiTheme="majorHAnsi" w:cstheme="majorHAnsi"/>
          <w:sz w:val="22"/>
          <w:szCs w:val="22"/>
        </w:rPr>
      </w:pPr>
      <w:r>
        <w:rPr>
          <w:rFonts w:asciiTheme="majorHAnsi" w:hAnsiTheme="majorHAnsi" w:cstheme="majorHAnsi"/>
          <w:sz w:val="22"/>
          <w:szCs w:val="22"/>
        </w:rPr>
        <w:t>que o custo do licitante ultrapassa o valor da proposta; e</w:t>
      </w:r>
    </w:p>
    <w:p w14:paraId="0EAF1163">
      <w:pPr>
        <w:pStyle w:val="61"/>
        <w:keepNext w:val="0"/>
        <w:keepLines w:val="0"/>
        <w:pageBreakBefore w:val="0"/>
        <w:widowControl/>
        <w:numPr>
          <w:ilvl w:val="3"/>
          <w:numId w:val="5"/>
        </w:numPr>
        <w:tabs>
          <w:tab w:val="left" w:pos="1920"/>
          <w:tab w:val="left" w:pos="2400"/>
        </w:tabs>
        <w:kinsoku/>
        <w:wordWrap/>
        <w:overflowPunct/>
        <w:topLinePunct w:val="0"/>
        <w:autoSpaceDE/>
        <w:autoSpaceDN/>
        <w:bidi w:val="0"/>
        <w:adjustRightInd/>
        <w:snapToGrid/>
        <w:spacing w:before="0" w:after="361" w:afterLines="100" w:line="240" w:lineRule="auto"/>
        <w:ind w:left="0" w:leftChars="0" w:firstLine="1440" w:firstLineChars="0"/>
        <w:textAlignment w:val="auto"/>
        <w:rPr>
          <w:rFonts w:asciiTheme="majorHAnsi" w:hAnsiTheme="majorHAnsi" w:cstheme="majorHAnsi"/>
          <w:sz w:val="22"/>
          <w:szCs w:val="22"/>
        </w:rPr>
      </w:pPr>
      <w:r>
        <w:rPr>
          <w:rFonts w:asciiTheme="majorHAnsi" w:hAnsiTheme="majorHAnsi" w:cstheme="majorHAnsi"/>
          <w:sz w:val="22"/>
          <w:szCs w:val="22"/>
        </w:rPr>
        <w:t>inexistirem custos de oportunidade capazes de justificar o vulto da oferta.</w:t>
      </w:r>
    </w:p>
    <w:p w14:paraId="65298842">
      <w:pPr>
        <w:pStyle w:val="58"/>
        <w:numPr>
          <w:ilvl w:val="1"/>
          <w:numId w:val="5"/>
        </w:numPr>
        <w:tabs>
          <w:tab w:val="left" w:pos="480"/>
          <w:tab w:val="left" w:pos="1276"/>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 xml:space="preserve">Em contratação de </w:t>
      </w:r>
      <w:r>
        <w:rPr>
          <w:rFonts w:asciiTheme="majorHAnsi" w:hAnsiTheme="majorHAnsi" w:cstheme="majorHAnsi"/>
          <w:b/>
          <w:bCs/>
          <w:sz w:val="22"/>
          <w:szCs w:val="22"/>
        </w:rPr>
        <w:t>SERVIÇOS DE ENGENHARIA</w:t>
      </w:r>
      <w:r>
        <w:rPr>
          <w:rFonts w:asciiTheme="majorHAnsi" w:hAnsiTheme="majorHAnsi" w:cstheme="majorHAnsi"/>
          <w:sz w:val="22"/>
          <w:szCs w:val="22"/>
        </w:rPr>
        <w:t>, além das disposições acima, a análise de exequibilidade e sobrepreço considerará o seguinte:</w:t>
      </w:r>
    </w:p>
    <w:p w14:paraId="7F91F03F">
      <w:pPr>
        <w:pStyle w:val="60"/>
        <w:keepNext w:val="0"/>
        <w:keepLines w:val="0"/>
        <w:pageBreakBefore w:val="0"/>
        <w:widowControl/>
        <w:numPr>
          <w:ilvl w:val="2"/>
          <w:numId w:val="5"/>
        </w:numPr>
        <w:tabs>
          <w:tab w:val="left" w:pos="1276"/>
          <w:tab w:val="left" w:pos="1560"/>
        </w:tabs>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Nos regimes de execução por tarefa, empreitada por preço global ou empreitada integral, semi-integrada ou integrada, a caracterização do sobrepreço se dará pela superação do valor global estimado;</w:t>
      </w:r>
    </w:p>
    <w:p w14:paraId="681DADF4">
      <w:pPr>
        <w:pStyle w:val="60"/>
        <w:keepNext w:val="0"/>
        <w:keepLines w:val="0"/>
        <w:pageBreakBefore w:val="0"/>
        <w:widowControl/>
        <w:numPr>
          <w:ilvl w:val="2"/>
          <w:numId w:val="5"/>
        </w:numPr>
        <w:tabs>
          <w:tab w:val="left" w:pos="1276"/>
          <w:tab w:val="left" w:pos="1560"/>
        </w:tabs>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b/>
          <w:bCs/>
          <w:color w:val="auto"/>
          <w:sz w:val="22"/>
          <w:szCs w:val="22"/>
        </w:rPr>
      </w:pPr>
      <w:r>
        <w:rPr>
          <w:rFonts w:asciiTheme="majorHAnsi" w:hAnsiTheme="majorHAnsi" w:cstheme="majorHAnsi"/>
          <w:b/>
          <w:bCs/>
          <w:sz w:val="22"/>
          <w:szCs w:val="22"/>
        </w:rPr>
        <w:t xml:space="preserve">No regime de empreitada por preço unitário, a caracterização do sobrepreço se dará pela superação do valor global estimado e </w:t>
      </w:r>
      <w:r>
        <w:rPr>
          <w:rFonts w:asciiTheme="majorHAnsi" w:hAnsiTheme="majorHAnsi" w:cstheme="majorHAnsi"/>
          <w:b/>
          <w:bCs/>
          <w:i/>
          <w:iCs/>
          <w:color w:val="auto"/>
          <w:sz w:val="22"/>
          <w:szCs w:val="22"/>
        </w:rPr>
        <w:t>pela superação de custo unitário tido como relevante, conforme planilha anexa ao edital</w:t>
      </w:r>
      <w:r>
        <w:rPr>
          <w:rFonts w:hint="default" w:asciiTheme="majorHAnsi" w:hAnsiTheme="majorHAnsi" w:cstheme="majorHAnsi"/>
          <w:b/>
          <w:bCs/>
          <w:i/>
          <w:iCs/>
          <w:color w:val="auto"/>
          <w:sz w:val="22"/>
          <w:szCs w:val="22"/>
          <w:lang w:val="pt-BR"/>
        </w:rPr>
        <w:t xml:space="preserve"> (todos os itens constantes são relevantes para o presente edital)</w:t>
      </w:r>
      <w:r>
        <w:rPr>
          <w:rFonts w:asciiTheme="majorHAnsi" w:hAnsiTheme="majorHAnsi" w:cstheme="majorHAnsi"/>
          <w:b/>
          <w:bCs/>
          <w:i/>
          <w:iCs/>
          <w:color w:val="auto"/>
          <w:sz w:val="22"/>
          <w:szCs w:val="22"/>
        </w:rPr>
        <w:t>;</w:t>
      </w:r>
    </w:p>
    <w:p w14:paraId="028DBAFC">
      <w:pPr>
        <w:pStyle w:val="60"/>
        <w:keepNext w:val="0"/>
        <w:keepLines w:val="0"/>
        <w:pageBreakBefore w:val="0"/>
        <w:widowControl/>
        <w:numPr>
          <w:ilvl w:val="2"/>
          <w:numId w:val="5"/>
        </w:numPr>
        <w:tabs>
          <w:tab w:val="left" w:pos="1276"/>
        </w:tabs>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No caso de serviços de engenharia, serão consideradas inexequíveis as propostas cujos valores forem inferiores a 75% (setenta e cinco por cento) do valor orçado pela Administração, independentemente do regime de execução.</w:t>
      </w:r>
    </w:p>
    <w:p w14:paraId="5770CCD9">
      <w:pPr>
        <w:pStyle w:val="60"/>
        <w:keepNext w:val="0"/>
        <w:keepLines w:val="0"/>
        <w:pageBreakBefore w:val="0"/>
        <w:widowControl/>
        <w:numPr>
          <w:ilvl w:val="2"/>
          <w:numId w:val="5"/>
        </w:numPr>
        <w:tabs>
          <w:tab w:val="left" w:pos="1276"/>
        </w:tabs>
        <w:kinsoku/>
        <w:wordWrap/>
        <w:overflowPunct/>
        <w:topLinePunct w:val="0"/>
        <w:autoSpaceDE/>
        <w:autoSpaceDN/>
        <w:bidi w:val="0"/>
        <w:adjustRightInd/>
        <w:snapToGrid/>
        <w:spacing w:before="0" w:after="361" w:afterLines="100" w:line="240" w:lineRule="auto"/>
        <w:ind w:left="0" w:firstLine="567"/>
        <w:textAlignment w:val="auto"/>
        <w:rPr>
          <w:rFonts w:asciiTheme="majorHAnsi" w:hAnsiTheme="majorHAnsi" w:cstheme="majorHAnsi"/>
          <w:sz w:val="22"/>
          <w:szCs w:val="22"/>
        </w:rPr>
      </w:pPr>
      <w:r>
        <w:rPr>
          <w:rFonts w:hint="default" w:asciiTheme="majorHAnsi" w:hAnsiTheme="majorHAnsi" w:cstheme="majorHAnsi"/>
          <w:sz w:val="22"/>
          <w:szCs w:val="22"/>
          <w:lang w:val="pt-BR"/>
        </w:rPr>
        <w:t>Caso prevista exigência de garantia, s</w:t>
      </w:r>
      <w:r>
        <w:rPr>
          <w:rFonts w:asciiTheme="majorHAnsi" w:hAnsiTheme="majorHAnsi" w:cstheme="majorHAnsi"/>
          <w:sz w:val="22"/>
          <w:szCs w:val="22"/>
        </w:rPr>
        <w:t>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0CC1BFD7">
      <w:pPr>
        <w:pStyle w:val="58"/>
        <w:keepNext w:val="0"/>
        <w:keepLines w:val="0"/>
        <w:pageBreakBefore w:val="0"/>
        <w:widowControl/>
        <w:numPr>
          <w:ilvl w:val="1"/>
          <w:numId w:val="5"/>
        </w:numPr>
        <w:tabs>
          <w:tab w:val="left" w:pos="480"/>
          <w:tab w:val="left" w:pos="1276"/>
        </w:tabs>
        <w:kinsoku/>
        <w:wordWrap/>
        <w:overflowPunct/>
        <w:topLinePunct w:val="0"/>
        <w:autoSpaceDE/>
        <w:autoSpaceDN/>
        <w:bidi w:val="0"/>
        <w:adjustRightInd/>
        <w:snapToGrid/>
        <w:spacing w:after="361" w:afterLines="100"/>
        <w:ind w:left="0" w:leftChars="0" w:firstLine="0" w:firstLineChars="0"/>
        <w:textAlignment w:val="auto"/>
        <w:rPr>
          <w:rFonts w:asciiTheme="majorHAnsi" w:hAnsiTheme="majorHAnsi" w:cstheme="majorHAnsi"/>
          <w:sz w:val="22"/>
          <w:szCs w:val="22"/>
        </w:rPr>
      </w:pPr>
      <w:r>
        <w:rPr>
          <w:rFonts w:asciiTheme="majorHAnsi" w:hAnsiTheme="majorHAnsi" w:cstheme="majorHAnsi"/>
          <w:sz w:val="22"/>
          <w:szCs w:val="22"/>
        </w:rPr>
        <w:t>Se houver indícios de inexequibilidade da proposta de preço, ou em caso da necessidade de esclarecimentos complementares, poderão ser efetuadas diligências, para que a empresa comprove a exequibilidade da proposta.</w:t>
      </w:r>
    </w:p>
    <w:p w14:paraId="592651BE">
      <w:pPr>
        <w:pStyle w:val="58"/>
        <w:keepNext w:val="0"/>
        <w:keepLines w:val="0"/>
        <w:pageBreakBefore w:val="0"/>
        <w:widowControl/>
        <w:numPr>
          <w:ilvl w:val="1"/>
          <w:numId w:val="5"/>
        </w:numPr>
        <w:tabs>
          <w:tab w:val="left" w:pos="480"/>
          <w:tab w:val="left" w:pos="1276"/>
        </w:tabs>
        <w:kinsoku/>
        <w:wordWrap/>
        <w:overflowPunct/>
        <w:topLinePunct w:val="0"/>
        <w:autoSpaceDE/>
        <w:autoSpaceDN/>
        <w:bidi w:val="0"/>
        <w:adjustRightInd/>
        <w:snapToGrid/>
        <w:spacing w:after="0"/>
        <w:ind w:left="0" w:leftChars="0" w:firstLine="0" w:firstLineChars="0"/>
        <w:textAlignment w:val="auto"/>
        <w:rPr>
          <w:rFonts w:asciiTheme="majorHAnsi" w:hAnsiTheme="majorHAnsi" w:cstheme="majorHAnsi"/>
          <w:b/>
          <w:bCs/>
          <w:sz w:val="22"/>
          <w:szCs w:val="22"/>
        </w:rPr>
      </w:pPr>
      <w:r>
        <w:rPr>
          <w:rFonts w:hint="default" w:asciiTheme="majorHAnsi" w:hAnsiTheme="majorHAnsi" w:cstheme="majorHAnsi"/>
          <w:b/>
          <w:bCs/>
          <w:sz w:val="22"/>
          <w:szCs w:val="22"/>
          <w:highlight w:val="none"/>
          <w:shd w:val="clear" w:fill="F2B1BC"/>
          <w:lang w:val="pt-BR"/>
        </w:rPr>
        <w:t>O</w:t>
      </w:r>
      <w:r>
        <w:rPr>
          <w:rFonts w:asciiTheme="majorHAnsi" w:hAnsiTheme="majorHAnsi" w:cstheme="majorHAnsi"/>
          <w:b/>
          <w:bCs/>
          <w:sz w:val="22"/>
          <w:szCs w:val="22"/>
          <w:highlight w:val="none"/>
          <w:shd w:val="clear" w:fill="F2B1BC"/>
        </w:rPr>
        <w:t xml:space="preserve"> licitante classificado em primeiro lugar será convocado para</w:t>
      </w:r>
      <w:r>
        <w:rPr>
          <w:rFonts w:hint="default" w:asciiTheme="majorHAnsi" w:hAnsiTheme="majorHAnsi" w:cstheme="majorHAnsi"/>
          <w:b/>
          <w:bCs/>
          <w:sz w:val="22"/>
          <w:szCs w:val="22"/>
          <w:highlight w:val="none"/>
          <w:shd w:val="clear" w:fill="F2B1BC"/>
          <w:lang w:val="pt-BR"/>
        </w:rPr>
        <w:t xml:space="preserve">, no prazo fixado pelo Pregoeiro (em até 02 horas), </w:t>
      </w:r>
      <w:r>
        <w:rPr>
          <w:rFonts w:asciiTheme="majorHAnsi" w:hAnsiTheme="majorHAnsi" w:cstheme="majorHAnsi"/>
          <w:b/>
          <w:bCs/>
          <w:sz w:val="22"/>
          <w:szCs w:val="22"/>
          <w:highlight w:val="none"/>
          <w:shd w:val="clear" w:fill="F2B1BC"/>
        </w:rPr>
        <w:t xml:space="preserve">apresentar </w:t>
      </w:r>
      <w:r>
        <w:rPr>
          <w:rFonts w:hint="default" w:asciiTheme="majorHAnsi" w:hAnsiTheme="majorHAnsi" w:cstheme="majorHAnsi"/>
          <w:b/>
          <w:bCs/>
          <w:sz w:val="22"/>
          <w:szCs w:val="22"/>
          <w:highlight w:val="none"/>
          <w:shd w:val="clear" w:fill="F2B1BC"/>
          <w:lang w:val="pt-BR"/>
        </w:rPr>
        <w:t>nova proposta (modelo ANEXO VII)</w:t>
      </w:r>
      <w:r>
        <w:rPr>
          <w:rFonts w:asciiTheme="majorHAnsi" w:hAnsiTheme="majorHAnsi" w:cstheme="majorHAnsi"/>
          <w:b/>
          <w:bCs/>
          <w:sz w:val="22"/>
          <w:szCs w:val="22"/>
        </w:rPr>
        <w:t xml:space="preserve"> por ele elaborada, com os respectivos valores</w:t>
      </w:r>
      <w:r>
        <w:rPr>
          <w:rFonts w:hint="default" w:asciiTheme="majorHAnsi" w:hAnsiTheme="majorHAnsi" w:cstheme="majorHAnsi"/>
          <w:b/>
          <w:bCs/>
          <w:sz w:val="22"/>
          <w:szCs w:val="22"/>
          <w:lang w:val="pt-BR"/>
        </w:rPr>
        <w:t xml:space="preserve"> </w:t>
      </w:r>
      <w:r>
        <w:rPr>
          <w:rFonts w:asciiTheme="majorHAnsi" w:hAnsiTheme="majorHAnsi" w:cstheme="majorHAnsi"/>
          <w:b/>
          <w:bCs/>
          <w:sz w:val="22"/>
          <w:szCs w:val="22"/>
        </w:rPr>
        <w:t>adequados ao valor final da sua proposta,</w:t>
      </w:r>
      <w:r>
        <w:rPr>
          <w:rFonts w:hint="default" w:asciiTheme="majorHAnsi" w:hAnsiTheme="majorHAnsi" w:cstheme="majorHAnsi"/>
          <w:b/>
          <w:bCs/>
          <w:sz w:val="22"/>
          <w:szCs w:val="22"/>
          <w:lang w:val="pt-BR"/>
        </w:rPr>
        <w:t xml:space="preserve"> mediante aplicação de desconto de forma linear sobre os preços unitários </w:t>
      </w:r>
      <w:r>
        <w:rPr>
          <w:rFonts w:hint="default" w:asciiTheme="majorHAnsi" w:hAnsiTheme="majorHAnsi" w:cstheme="majorHAnsi"/>
          <w:b/>
          <w:bCs/>
          <w:sz w:val="22"/>
          <w:szCs w:val="22"/>
          <w:highlight w:val="cyan"/>
          <w:u w:val="single"/>
          <w:shd w:val="clear" w:fill="D6E3BC" w:themeFill="accent3" w:themeFillTint="66"/>
          <w:lang w:val="pt-BR"/>
        </w:rPr>
        <w:t>(até 02 casas decimais)</w:t>
      </w:r>
      <w:r>
        <w:rPr>
          <w:rFonts w:hint="default" w:asciiTheme="majorHAnsi" w:hAnsiTheme="majorHAnsi" w:cstheme="majorHAnsi"/>
          <w:b/>
          <w:bCs/>
          <w:sz w:val="22"/>
          <w:szCs w:val="22"/>
          <w:highlight w:val="magenta"/>
          <w:u w:val="single"/>
          <w:lang w:val="pt-BR"/>
        </w:rPr>
        <w:t>,</w:t>
      </w:r>
      <w:r>
        <w:rPr>
          <w:rFonts w:hint="default" w:asciiTheme="majorHAnsi" w:hAnsiTheme="majorHAnsi" w:cstheme="majorHAnsi"/>
          <w:b/>
          <w:bCs/>
          <w:sz w:val="22"/>
          <w:szCs w:val="22"/>
          <w:lang w:val="pt-BR"/>
        </w:rPr>
        <w:t xml:space="preserve"> equivalente ao percentual de desconto dado sobre o preço total vencedor,</w:t>
      </w:r>
      <w:r>
        <w:rPr>
          <w:rFonts w:asciiTheme="majorHAnsi" w:hAnsiTheme="majorHAnsi" w:cstheme="majorHAnsi"/>
          <w:b/>
          <w:bCs/>
          <w:sz w:val="22"/>
          <w:szCs w:val="22"/>
        </w:rPr>
        <w:t xml:space="preserve"> sob pena de não aceitação da proposta.</w:t>
      </w:r>
      <w:r>
        <w:rPr>
          <w:rFonts w:hint="default" w:asciiTheme="majorHAnsi" w:hAnsiTheme="majorHAnsi" w:cstheme="majorHAnsi"/>
          <w:b/>
          <w:bCs/>
          <w:sz w:val="22"/>
          <w:szCs w:val="22"/>
          <w:lang w:val="pt-BR"/>
        </w:rPr>
        <w:t xml:space="preserve"> Poderá ser dispensada a apresentação pelo Pregoeiro.</w:t>
      </w:r>
    </w:p>
    <w:p w14:paraId="32D33A1F">
      <w:pPr>
        <w:pStyle w:val="58"/>
        <w:keepNext w:val="0"/>
        <w:keepLines w:val="0"/>
        <w:pageBreakBefore w:val="0"/>
        <w:widowControl/>
        <w:numPr>
          <w:ilvl w:val="1"/>
          <w:numId w:val="0"/>
        </w:numPr>
        <w:tabs>
          <w:tab w:val="left" w:pos="480"/>
          <w:tab w:val="left" w:pos="1276"/>
        </w:tabs>
        <w:kinsoku/>
        <w:wordWrap/>
        <w:overflowPunct/>
        <w:topLinePunct w:val="0"/>
        <w:autoSpaceDE/>
        <w:autoSpaceDN/>
        <w:bidi w:val="0"/>
        <w:adjustRightInd/>
        <w:snapToGrid/>
        <w:spacing w:after="0"/>
        <w:ind w:leftChars="0"/>
        <w:textAlignment w:val="auto"/>
        <w:rPr>
          <w:rFonts w:hint="default" w:asciiTheme="majorHAnsi" w:hAnsiTheme="majorHAnsi" w:cstheme="majorHAnsi"/>
          <w:b/>
          <w:bCs/>
          <w:sz w:val="22"/>
          <w:szCs w:val="22"/>
          <w:lang w:val="pt-BR"/>
        </w:rPr>
      </w:pPr>
    </w:p>
    <w:p w14:paraId="0CF74B02">
      <w:pPr>
        <w:pStyle w:val="131"/>
        <w:widowControl/>
        <w:numPr>
          <w:ilvl w:val="0"/>
          <w:numId w:val="0"/>
        </w:numPr>
        <w:tabs>
          <w:tab w:val="left" w:pos="2400"/>
        </w:tabs>
        <w:spacing w:line="240" w:lineRule="auto"/>
        <w:ind w:left="2400" w:leftChars="1000" w:firstLine="240" w:firstLineChars="133"/>
        <w:jc w:val="both"/>
        <w:rPr>
          <w:rFonts w:hint="default" w:ascii="Calibri" w:hAnsi="Calibri" w:eastAsia="Calibri" w:cs="Calibri"/>
          <w:b/>
          <w:i/>
          <w:iCs/>
          <w:sz w:val="18"/>
          <w:szCs w:val="18"/>
          <w:highlight w:val="cyan"/>
          <w:shd w:val="clear" w:color="auto" w:fill="FFFF00"/>
          <w:lang w:val="pt-BR"/>
        </w:rPr>
      </w:pPr>
      <w:r>
        <w:rPr>
          <w:rFonts w:hint="default" w:ascii="Calibri" w:hAnsi="Calibri" w:eastAsia="Calibri" w:cs="Calibri"/>
          <w:b/>
          <w:i/>
          <w:iCs/>
          <w:sz w:val="18"/>
          <w:szCs w:val="18"/>
          <w:highlight w:val="cyan"/>
          <w:u w:val="single"/>
          <w:shd w:val="clear" w:color="auto" w:fill="F2B1BC"/>
          <w:lang w:val="pt-BR"/>
        </w:rPr>
        <w:t>A proposta deverá ser apresentada MEDIANTE DESCONTO LINEAR ENTRE OS PREÇOS DE CADA ITEM QUE COMPÕE O LOTE</w:t>
      </w:r>
      <w:r>
        <w:rPr>
          <w:rFonts w:hint="default" w:ascii="Calibri" w:hAnsi="Calibri" w:eastAsia="Calibri" w:cs="Calibri"/>
          <w:b/>
          <w:i/>
          <w:iCs/>
          <w:sz w:val="18"/>
          <w:szCs w:val="18"/>
          <w:highlight w:val="cyan"/>
          <w:shd w:val="clear" w:color="auto" w:fill="F2B1BC"/>
          <w:lang w:val="pt-BR"/>
        </w:rPr>
        <w:t xml:space="preserve">, APLICADO CONFORME PLANILHA/MODELO DISPONIVEL NO SITE: </w:t>
      </w:r>
      <w:r>
        <w:rPr>
          <w:rFonts w:hint="default" w:ascii="Calibri" w:hAnsi="Calibri" w:eastAsia="Calibri" w:cs="Calibri"/>
          <w:b/>
          <w:i/>
          <w:iCs/>
          <w:sz w:val="18"/>
          <w:szCs w:val="18"/>
          <w:highlight w:val="cyan"/>
          <w:shd w:val="clear" w:color="auto" w:fill="F2B1BC"/>
          <w:lang w:val="pt-BR"/>
        </w:rPr>
        <w:fldChar w:fldCharType="begin"/>
      </w:r>
      <w:r>
        <w:rPr>
          <w:rFonts w:hint="default" w:ascii="Calibri" w:hAnsi="Calibri" w:eastAsia="Calibri" w:cs="Calibri"/>
          <w:b/>
          <w:i/>
          <w:iCs/>
          <w:sz w:val="18"/>
          <w:szCs w:val="18"/>
          <w:highlight w:val="cyan"/>
          <w:shd w:val="clear" w:color="auto" w:fill="F2B1BC"/>
          <w:lang w:val="pt-BR"/>
        </w:rPr>
        <w:instrText xml:space="preserve"> HYPERLINK "http://www.leme.sp.gov.br" </w:instrText>
      </w:r>
      <w:r>
        <w:rPr>
          <w:rFonts w:hint="default" w:ascii="Calibri" w:hAnsi="Calibri" w:eastAsia="Calibri" w:cs="Calibri"/>
          <w:b/>
          <w:i/>
          <w:iCs/>
          <w:sz w:val="18"/>
          <w:szCs w:val="18"/>
          <w:highlight w:val="cyan"/>
          <w:shd w:val="clear" w:color="auto" w:fill="F2B1BC"/>
          <w:lang w:val="pt-BR"/>
        </w:rPr>
        <w:fldChar w:fldCharType="separate"/>
      </w:r>
      <w:r>
        <w:rPr>
          <w:rStyle w:val="13"/>
          <w:rFonts w:hint="default" w:ascii="Calibri" w:hAnsi="Calibri" w:eastAsia="Calibri" w:cs="Calibri"/>
          <w:b/>
          <w:i/>
          <w:iCs/>
          <w:sz w:val="18"/>
          <w:szCs w:val="18"/>
          <w:highlight w:val="cyan"/>
          <w:shd w:val="clear" w:color="auto" w:fill="F2B1BC"/>
          <w:lang w:val="pt-BR"/>
        </w:rPr>
        <w:t>www.leme.sp.gov.br</w:t>
      </w:r>
      <w:r>
        <w:rPr>
          <w:rFonts w:hint="default" w:ascii="Calibri" w:hAnsi="Calibri" w:eastAsia="Calibri" w:cs="Calibri"/>
          <w:b/>
          <w:i/>
          <w:iCs/>
          <w:sz w:val="18"/>
          <w:szCs w:val="18"/>
          <w:highlight w:val="cyan"/>
          <w:shd w:val="clear" w:color="auto" w:fill="F2B1BC"/>
          <w:lang w:val="pt-BR"/>
        </w:rPr>
        <w:fldChar w:fldCharType="end"/>
      </w:r>
      <w:r>
        <w:rPr>
          <w:rFonts w:hint="default" w:ascii="Calibri" w:hAnsi="Calibri" w:eastAsia="Calibri" w:cs="Calibri"/>
          <w:b/>
          <w:i/>
          <w:iCs/>
          <w:sz w:val="18"/>
          <w:szCs w:val="18"/>
          <w:highlight w:val="cyan"/>
          <w:shd w:val="clear" w:color="auto" w:fill="F2B1BC"/>
          <w:lang w:val="pt-BR"/>
        </w:rPr>
        <w:t xml:space="preserve"> / link: licitações/2025/Planilha Modelo para Calculo de Desconto Linear. FICAM OS LICITANTES CIENTES QUE O DESCONTO LINEAR SERÁ AUTOMATICAMENTE APLICADO PELA PREGOEIRA(O) SE ENCAMINHADA PROPOSTA SEM O CUMPRIMENTO DO SOLICITADO.</w:t>
      </w:r>
    </w:p>
    <w:p w14:paraId="512F10D7">
      <w:pPr>
        <w:pStyle w:val="58"/>
        <w:keepNext w:val="0"/>
        <w:keepLines w:val="0"/>
        <w:pageBreakBefore w:val="0"/>
        <w:widowControl/>
        <w:numPr>
          <w:ilvl w:val="1"/>
          <w:numId w:val="0"/>
        </w:numPr>
        <w:tabs>
          <w:tab w:val="left" w:pos="480"/>
          <w:tab w:val="left" w:pos="1276"/>
        </w:tabs>
        <w:kinsoku/>
        <w:wordWrap/>
        <w:overflowPunct/>
        <w:topLinePunct w:val="0"/>
        <w:autoSpaceDE/>
        <w:autoSpaceDN/>
        <w:bidi w:val="0"/>
        <w:adjustRightInd/>
        <w:snapToGrid/>
        <w:spacing w:after="0"/>
        <w:ind w:leftChars="0"/>
        <w:textAlignment w:val="auto"/>
        <w:rPr>
          <w:rFonts w:hint="default" w:asciiTheme="majorHAnsi" w:hAnsiTheme="majorHAnsi" w:cstheme="majorHAnsi"/>
          <w:b/>
          <w:bCs/>
          <w:sz w:val="22"/>
          <w:szCs w:val="22"/>
          <w:lang w:val="pt-BR"/>
        </w:rPr>
      </w:pPr>
    </w:p>
    <w:p w14:paraId="09BCD3CB">
      <w:pPr>
        <w:pStyle w:val="58"/>
        <w:numPr>
          <w:ilvl w:val="1"/>
          <w:numId w:val="5"/>
        </w:numPr>
        <w:tabs>
          <w:tab w:val="left" w:pos="240"/>
          <w:tab w:val="left" w:pos="480"/>
          <w:tab w:val="left" w:pos="1276"/>
        </w:tabs>
        <w:spacing w:after="0"/>
        <w:ind w:left="0" w:leftChars="0" w:firstLine="0" w:firstLineChars="0"/>
        <w:rPr>
          <w:rFonts w:asciiTheme="majorHAnsi" w:hAnsiTheme="majorHAnsi" w:cstheme="majorHAnsi"/>
          <w:sz w:val="22"/>
          <w:szCs w:val="22"/>
        </w:rPr>
      </w:pPr>
      <w:r>
        <w:rPr>
          <w:rFonts w:asciiTheme="majorHAnsi" w:hAnsiTheme="majorHAnsi" w:cstheme="majorHAnsi"/>
          <w:sz w:val="22"/>
          <w:szCs w:val="22"/>
        </w:rPr>
        <w:t>Erros no preenchimento da planilha não constituem motivo para a desclassificação da proposta. A planilha poderá́ ser ajustada pelo fornecedor, no prazo indicado pelo sistema, desde que não haja majoração do preço.</w:t>
      </w:r>
    </w:p>
    <w:p w14:paraId="0DF6ACD4">
      <w:pPr>
        <w:pStyle w:val="60"/>
        <w:keepNext w:val="0"/>
        <w:keepLines w:val="0"/>
        <w:pageBreakBefore w:val="0"/>
        <w:widowControl/>
        <w:numPr>
          <w:ilvl w:val="2"/>
          <w:numId w:val="5"/>
        </w:numPr>
        <w:tabs>
          <w:tab w:val="left" w:pos="1276"/>
        </w:tabs>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O ajuste de que trata este dispositivo se limita a sanar erros ou falhas que não alterem a substância das propostas;</w:t>
      </w:r>
    </w:p>
    <w:p w14:paraId="0AF9A587">
      <w:pPr>
        <w:pStyle w:val="60"/>
        <w:keepNext w:val="0"/>
        <w:keepLines w:val="0"/>
        <w:pageBreakBefore w:val="0"/>
        <w:widowControl/>
        <w:numPr>
          <w:ilvl w:val="2"/>
          <w:numId w:val="5"/>
        </w:numPr>
        <w:tabs>
          <w:tab w:val="left" w:pos="1276"/>
        </w:tabs>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Considera-se erro no preenchimento da planilha passível de correção</w:t>
      </w:r>
      <w:r>
        <w:rPr>
          <w:rFonts w:hint="default" w:asciiTheme="majorHAnsi" w:hAnsiTheme="majorHAnsi" w:cstheme="majorHAnsi"/>
          <w:sz w:val="22"/>
          <w:szCs w:val="22"/>
          <w:lang w:val="pt-BR"/>
        </w:rPr>
        <w:t>,</w:t>
      </w:r>
      <w:r>
        <w:rPr>
          <w:rFonts w:asciiTheme="majorHAnsi" w:hAnsiTheme="majorHAnsi" w:cstheme="majorHAnsi"/>
          <w:sz w:val="22"/>
          <w:szCs w:val="22"/>
        </w:rPr>
        <w:t xml:space="preserve"> a indicação de recolhimento de impostos e contribuições na forma do Simples Nacional, quando não cabível esse regime.</w:t>
      </w:r>
    </w:p>
    <w:p w14:paraId="3F3905D2">
      <w:pPr>
        <w:pStyle w:val="60"/>
        <w:keepNext w:val="0"/>
        <w:keepLines w:val="0"/>
        <w:pageBreakBefore w:val="0"/>
        <w:widowControl/>
        <w:numPr>
          <w:ilvl w:val="2"/>
          <w:numId w:val="5"/>
        </w:numPr>
        <w:tabs>
          <w:tab w:val="left" w:pos="1276"/>
        </w:tabs>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 xml:space="preserve"> O pregoeiro solicitará ao licitante mais bem classificado que, </w:t>
      </w:r>
      <w:r>
        <w:rPr>
          <w:rFonts w:asciiTheme="majorHAnsi" w:hAnsiTheme="majorHAnsi" w:cstheme="majorHAnsi"/>
          <w:b/>
          <w:bCs/>
          <w:sz w:val="22"/>
          <w:szCs w:val="22"/>
          <w:highlight w:val="none"/>
        </w:rPr>
        <w:t xml:space="preserve">no prazo de </w:t>
      </w:r>
      <w:r>
        <w:rPr>
          <w:rFonts w:hint="default" w:asciiTheme="majorHAnsi" w:hAnsiTheme="majorHAnsi" w:cstheme="majorHAnsi"/>
          <w:b/>
          <w:bCs/>
          <w:sz w:val="22"/>
          <w:szCs w:val="22"/>
          <w:highlight w:val="none"/>
          <w:lang w:val="pt-BR"/>
        </w:rPr>
        <w:t>02</w:t>
      </w:r>
      <w:r>
        <w:rPr>
          <w:rFonts w:asciiTheme="majorHAnsi" w:hAnsiTheme="majorHAnsi" w:cstheme="majorHAnsi"/>
          <w:b/>
          <w:bCs/>
          <w:sz w:val="22"/>
          <w:szCs w:val="22"/>
          <w:highlight w:val="none"/>
        </w:rPr>
        <w:t xml:space="preserve"> horas</w:t>
      </w:r>
      <w:r>
        <w:rPr>
          <w:rFonts w:asciiTheme="majorHAnsi" w:hAnsiTheme="majorHAnsi" w:cstheme="majorHAnsi"/>
          <w:sz w:val="22"/>
          <w:szCs w:val="22"/>
          <w:highlight w:val="none"/>
        </w:rPr>
        <w:t>,</w:t>
      </w:r>
      <w:r>
        <w:rPr>
          <w:rFonts w:asciiTheme="majorHAnsi" w:hAnsiTheme="majorHAnsi" w:cstheme="majorHAnsi"/>
          <w:sz w:val="22"/>
          <w:szCs w:val="22"/>
        </w:rPr>
        <w:t xml:space="preserve"> envie a proposta</w:t>
      </w:r>
      <w:r>
        <w:rPr>
          <w:rFonts w:hint="default" w:asciiTheme="majorHAnsi" w:hAnsiTheme="majorHAnsi" w:cstheme="majorHAnsi"/>
          <w:sz w:val="22"/>
          <w:szCs w:val="22"/>
          <w:lang w:val="pt-BR"/>
        </w:rPr>
        <w:t xml:space="preserve"> com a planilha de preços</w:t>
      </w:r>
      <w:r>
        <w:rPr>
          <w:rFonts w:asciiTheme="majorHAnsi" w:hAnsiTheme="majorHAnsi" w:cstheme="majorHAnsi"/>
          <w:sz w:val="22"/>
          <w:szCs w:val="22"/>
        </w:rPr>
        <w:t xml:space="preserve"> adequada ao último lance ofertado após a negociação realizada, em campo próprio do Sistema, acompanhada dos documentos </w:t>
      </w:r>
      <w:r>
        <w:rPr>
          <w:rFonts w:hint="default" w:asciiTheme="majorHAnsi" w:hAnsiTheme="majorHAnsi" w:cstheme="majorHAnsi"/>
          <w:sz w:val="22"/>
          <w:szCs w:val="22"/>
          <w:lang w:val="pt-BR"/>
        </w:rPr>
        <w:t xml:space="preserve">de habilitação e eventuais  </w:t>
      </w:r>
      <w:r>
        <w:rPr>
          <w:rFonts w:asciiTheme="majorHAnsi" w:hAnsiTheme="majorHAnsi" w:cstheme="majorHAnsi"/>
          <w:sz w:val="22"/>
          <w:szCs w:val="22"/>
        </w:rPr>
        <w:t>complementares quando necessários à confirmação daqueles exigidos neste Edital e já apresentados.</w:t>
      </w:r>
    </w:p>
    <w:p w14:paraId="73C850AD">
      <w:pPr>
        <w:pStyle w:val="60"/>
        <w:keepNext w:val="0"/>
        <w:keepLines w:val="0"/>
        <w:pageBreakBefore w:val="0"/>
        <w:widowControl/>
        <w:numPr>
          <w:ilvl w:val="2"/>
          <w:numId w:val="5"/>
        </w:numPr>
        <w:tabs>
          <w:tab w:val="left" w:pos="1276"/>
        </w:tabs>
        <w:kinsoku/>
        <w:wordWrap/>
        <w:overflowPunct/>
        <w:topLinePunct w:val="0"/>
        <w:autoSpaceDE/>
        <w:autoSpaceDN/>
        <w:bidi w:val="0"/>
        <w:adjustRightInd/>
        <w:snapToGrid/>
        <w:spacing w:before="0" w:after="0" w:line="240" w:lineRule="auto"/>
        <w:ind w:left="0" w:firstLine="567"/>
        <w:textAlignment w:val="auto"/>
        <w:rPr>
          <w:rFonts w:eastAsia="Times New Roman" w:asciiTheme="majorHAnsi" w:hAnsiTheme="majorHAnsi" w:cstheme="majorHAnsi"/>
          <w:sz w:val="22"/>
          <w:szCs w:val="22"/>
        </w:rPr>
      </w:pPr>
      <w:r>
        <w:rPr>
          <w:rFonts w:eastAsia="Times New Roman" w:asciiTheme="majorHAnsi" w:hAnsiTheme="majorHAnsi" w:cstheme="majorHAnsi"/>
          <w:sz w:val="22"/>
          <w:szCs w:val="22"/>
        </w:rPr>
        <w:t>É facultado ao pregoeiro prorrogar o prazo estabelecido, a partir de solicitação fundamentada feita no chat pelo licitante, antes de findo o prazo.</w:t>
      </w:r>
      <w:bookmarkEnd w:id="20"/>
    </w:p>
    <w:p w14:paraId="46014AE1">
      <w:pPr>
        <w:pStyle w:val="58"/>
        <w:numPr>
          <w:ilvl w:val="1"/>
          <w:numId w:val="5"/>
        </w:numPr>
        <w:tabs>
          <w:tab w:val="left" w:pos="480"/>
          <w:tab w:val="left" w:pos="1276"/>
        </w:tabs>
        <w:spacing w:after="0"/>
        <w:ind w:left="0" w:leftChars="0" w:firstLine="0" w:firstLineChars="0"/>
        <w:rPr>
          <w:rFonts w:asciiTheme="majorHAnsi" w:hAnsiTheme="majorHAnsi" w:cstheme="majorHAnsi"/>
          <w:i/>
          <w:iCs/>
          <w:sz w:val="22"/>
          <w:szCs w:val="22"/>
        </w:rPr>
      </w:pPr>
      <w:r>
        <w:rPr>
          <w:rFonts w:asciiTheme="majorHAnsi" w:hAnsiTheme="majorHAnsi" w:cstheme="majorHAnsi"/>
          <w:b/>
          <w:bCs/>
          <w:sz w:val="22"/>
          <w:szCs w:val="22"/>
        </w:rPr>
        <w:t>(AMOSTRA)</w:t>
      </w:r>
      <w:r>
        <w:rPr>
          <w:rFonts w:asciiTheme="majorHAnsi" w:hAnsiTheme="majorHAnsi" w:cstheme="majorHAnsi"/>
          <w:sz w:val="22"/>
          <w:szCs w:val="22"/>
        </w:rPr>
        <w:t xml:space="preserve"> Caso o Termo de Referência exija a apresentação de amostra, o licitante classificado em primeiro lugar deverá apresentá-la, conforme disciplinado no Termo de Referência, sob pena de não aceitação da proposta.</w:t>
      </w:r>
    </w:p>
    <w:p w14:paraId="7EDAD32F">
      <w:pPr>
        <w:pStyle w:val="58"/>
        <w:keepNext w:val="0"/>
        <w:keepLines w:val="0"/>
        <w:pageBreakBefore w:val="0"/>
        <w:widowControl/>
        <w:numPr>
          <w:ilvl w:val="2"/>
          <w:numId w:val="5"/>
        </w:numPr>
        <w:tabs>
          <w:tab w:val="left" w:pos="1276"/>
        </w:tabs>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Por meio de mensagem no sistema, será divulgado o local e horário de realização do procedimento para a avaliação das amostras, cuja presença será facultada a todos os interessados, incluindo os demais licitantes.</w:t>
      </w:r>
    </w:p>
    <w:p w14:paraId="1E6AEC93">
      <w:pPr>
        <w:pStyle w:val="58"/>
        <w:keepNext w:val="0"/>
        <w:keepLines w:val="0"/>
        <w:pageBreakBefore w:val="0"/>
        <w:widowControl/>
        <w:numPr>
          <w:ilvl w:val="2"/>
          <w:numId w:val="5"/>
        </w:numPr>
        <w:tabs>
          <w:tab w:val="left" w:pos="1276"/>
        </w:tabs>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Os resultados das avaliações serão divulgados por meio de mensagem no sistema.</w:t>
      </w:r>
    </w:p>
    <w:p w14:paraId="6ED50213">
      <w:pPr>
        <w:pStyle w:val="58"/>
        <w:keepNext w:val="0"/>
        <w:keepLines w:val="0"/>
        <w:pageBreakBefore w:val="0"/>
        <w:widowControl/>
        <w:numPr>
          <w:ilvl w:val="2"/>
          <w:numId w:val="5"/>
        </w:numPr>
        <w:tabs>
          <w:tab w:val="left" w:pos="1276"/>
        </w:tabs>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No caso de não haver entrega da amostra ou ocorrer atraso na entrega, sem justificativa aceita pelo Pregoeiro, ou havendo entrega de amostra fora das especificações previstas neste Edital, a proposta do licitante será recusada.</w:t>
      </w:r>
    </w:p>
    <w:p w14:paraId="76864269">
      <w:pPr>
        <w:pStyle w:val="58"/>
        <w:keepNext w:val="0"/>
        <w:keepLines w:val="0"/>
        <w:pageBreakBefore w:val="0"/>
        <w:widowControl/>
        <w:numPr>
          <w:ilvl w:val="2"/>
          <w:numId w:val="5"/>
        </w:numPr>
        <w:tabs>
          <w:tab w:val="left" w:pos="1276"/>
        </w:tabs>
        <w:kinsoku/>
        <w:wordWrap/>
        <w:overflowPunct/>
        <w:topLinePunct w:val="0"/>
        <w:autoSpaceDE/>
        <w:autoSpaceDN/>
        <w:bidi w:val="0"/>
        <w:adjustRightInd/>
        <w:snapToGrid/>
        <w:spacing w:before="0" w:after="0" w:line="240" w:lineRule="auto"/>
        <w:ind w:left="0" w:firstLine="567"/>
        <w:textAlignment w:val="auto"/>
        <w:rPr>
          <w:rFonts w:asciiTheme="majorHAnsi" w:hAnsiTheme="majorHAnsi" w:cstheme="majorHAnsi"/>
          <w:sz w:val="22"/>
          <w:szCs w:val="22"/>
        </w:rPr>
      </w:pPr>
      <w:r>
        <w:rPr>
          <w:rFonts w:asciiTheme="majorHAnsi" w:hAnsiTheme="majorHAnsi" w:cstheme="majorHAnsi"/>
          <w:sz w:val="22"/>
          <w:szCs w:val="22"/>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3A388B9C">
      <w:pPr>
        <w:pStyle w:val="58"/>
        <w:keepNext w:val="0"/>
        <w:keepLines w:val="0"/>
        <w:pageBreakBefore w:val="0"/>
        <w:widowControl/>
        <w:numPr>
          <w:ilvl w:val="1"/>
          <w:numId w:val="0"/>
        </w:numPr>
        <w:tabs>
          <w:tab w:val="left" w:pos="1276"/>
        </w:tabs>
        <w:kinsoku/>
        <w:wordWrap/>
        <w:overflowPunct/>
        <w:topLinePunct w:val="0"/>
        <w:autoSpaceDE/>
        <w:autoSpaceDN/>
        <w:bidi w:val="0"/>
        <w:adjustRightInd/>
        <w:snapToGrid/>
        <w:spacing w:before="0" w:after="0" w:line="240" w:lineRule="auto"/>
        <w:ind w:left="567" w:leftChars="0"/>
        <w:textAlignment w:val="auto"/>
        <w:rPr>
          <w:rFonts w:asciiTheme="majorHAnsi" w:hAnsiTheme="majorHAnsi" w:cstheme="majorHAnsi"/>
          <w:sz w:val="22"/>
          <w:szCs w:val="22"/>
        </w:rPr>
      </w:pPr>
    </w:p>
    <w:p w14:paraId="15FC450F">
      <w:pPr>
        <w:pStyle w:val="41"/>
        <w:numPr>
          <w:ilvl w:val="0"/>
          <w:numId w:val="5"/>
        </w:numPr>
        <w:tabs>
          <w:tab w:val="left" w:pos="480"/>
        </w:tabs>
        <w:spacing w:before="120" w:line="276" w:lineRule="auto"/>
        <w:ind w:left="0" w:leftChars="0" w:firstLine="0" w:firstLineChars="0"/>
        <w:rPr>
          <w:rFonts w:asciiTheme="majorHAnsi" w:hAnsiTheme="majorHAnsi" w:cstheme="majorHAnsi"/>
          <w:sz w:val="22"/>
          <w:szCs w:val="22"/>
        </w:rPr>
      </w:pPr>
      <w:bookmarkStart w:id="28" w:name="_Toc122606108"/>
      <w:bookmarkStart w:id="29" w:name="_Hlk82473550"/>
      <w:r>
        <w:rPr>
          <w:rFonts w:asciiTheme="majorHAnsi" w:hAnsiTheme="majorHAnsi" w:cstheme="majorHAnsi"/>
          <w:sz w:val="22"/>
          <w:szCs w:val="22"/>
        </w:rPr>
        <w:t xml:space="preserve">  DA FASE DE HABILITAÇÃO</w:t>
      </w:r>
      <w:bookmarkEnd w:id="28"/>
    </w:p>
    <w:p w14:paraId="2C9A9EF8"/>
    <w:p w14:paraId="242E0593">
      <w:pPr>
        <w:pStyle w:val="58"/>
        <w:numPr>
          <w:ilvl w:val="1"/>
          <w:numId w:val="6"/>
        </w:numPr>
        <w:tabs>
          <w:tab w:val="left" w:pos="480"/>
        </w:tabs>
        <w:spacing w:after="0"/>
        <w:ind w:left="18" w:leftChars="0" w:hanging="18" w:firstLineChars="0"/>
        <w:rPr>
          <w:rFonts w:asciiTheme="majorHAnsi" w:hAnsiTheme="majorHAnsi" w:cstheme="majorHAnsi"/>
          <w:b/>
          <w:bCs/>
          <w:sz w:val="22"/>
          <w:szCs w:val="22"/>
          <w:lang w:eastAsia="ar-SA"/>
        </w:rPr>
      </w:pPr>
      <w:bookmarkStart w:id="30" w:name="_Ref117019424"/>
      <w:r>
        <w:rPr>
          <w:rFonts w:asciiTheme="majorHAnsi" w:hAnsiTheme="majorHAnsi" w:cstheme="majorHAnsi"/>
          <w:sz w:val="22"/>
          <w:szCs w:val="22"/>
        </w:rPr>
        <w:t xml:space="preserve">Encerrada a etapa de </w:t>
      </w:r>
      <w:r>
        <w:rPr>
          <w:rFonts w:hint="default" w:asciiTheme="majorHAnsi" w:hAnsiTheme="majorHAnsi" w:cstheme="majorHAnsi"/>
          <w:sz w:val="22"/>
          <w:szCs w:val="22"/>
          <w:lang w:val="pt-BR"/>
        </w:rPr>
        <w:t xml:space="preserve">julgamento, </w:t>
      </w:r>
      <w:r>
        <w:rPr>
          <w:rFonts w:asciiTheme="majorHAnsi" w:hAnsiTheme="majorHAnsi" w:cstheme="majorHAnsi"/>
          <w:sz w:val="22"/>
          <w:szCs w:val="22"/>
        </w:rPr>
        <w:t>negociação e aceitação, o pregoeiro verificará se o licitante provisoriamente classificado em primeiro lugar atende às condições de participação no certame, conforme previsto no art. 14 da Lei nº 14.133/2021, legislação correlata e no item 2.</w:t>
      </w:r>
      <w:r>
        <w:rPr>
          <w:rFonts w:hint="default" w:asciiTheme="majorHAnsi" w:hAnsiTheme="majorHAnsi" w:cstheme="majorHAnsi"/>
          <w:sz w:val="22"/>
          <w:szCs w:val="22"/>
          <w:lang w:val="pt-BR"/>
        </w:rPr>
        <w:t>4</w:t>
      </w:r>
      <w:r>
        <w:rPr>
          <w:rFonts w:asciiTheme="majorHAnsi" w:hAnsiTheme="majorHAnsi" w:cstheme="majorHAnsi"/>
          <w:sz w:val="22"/>
          <w:szCs w:val="22"/>
        </w:rPr>
        <w:t xml:space="preserve"> do edital, </w:t>
      </w:r>
      <w:bookmarkEnd w:id="30"/>
      <w:r>
        <w:rPr>
          <w:rFonts w:asciiTheme="majorHAnsi" w:hAnsiTheme="majorHAnsi" w:cstheme="majorHAnsi"/>
          <w:color w:val="auto"/>
          <w:sz w:val="22"/>
          <w:szCs w:val="22"/>
          <w:lang w:eastAsia="ar-SA"/>
        </w:rPr>
        <w:t>especialmente quanto à existência de sanção que impeça a participação no certame ou a futura contratação,</w:t>
      </w:r>
      <w:r>
        <w:rPr>
          <w:rFonts w:asciiTheme="majorHAnsi" w:hAnsiTheme="majorHAnsi" w:cstheme="majorHAnsi"/>
          <w:sz w:val="22"/>
          <w:szCs w:val="22"/>
          <w:lang w:eastAsia="ar-SA"/>
        </w:rPr>
        <w:t xml:space="preserve"> mediante a consulta aos seguintes cadastros:</w:t>
      </w:r>
    </w:p>
    <w:p w14:paraId="648111AC">
      <w:pPr>
        <w:pStyle w:val="26"/>
        <w:numPr>
          <w:ilvl w:val="0"/>
          <w:numId w:val="7"/>
        </w:numPr>
        <w:spacing w:before="120" w:after="120" w:line="276" w:lineRule="auto"/>
        <w:ind w:left="1134"/>
        <w:jc w:val="both"/>
        <w:rPr>
          <w:rFonts w:hint="default" w:ascii="Calibri" w:hAnsi="Calibri" w:cs="Calibri"/>
          <w:sz w:val="22"/>
          <w:szCs w:val="22"/>
          <w:lang w:eastAsia="ar-SA"/>
        </w:rPr>
      </w:pPr>
      <w:r>
        <w:rPr>
          <w:rFonts w:hint="default" w:ascii="Calibri" w:hAnsi="Calibri" w:cs="Calibri"/>
          <w:sz w:val="22"/>
          <w:szCs w:val="22"/>
          <w:lang w:eastAsia="ar-SA"/>
        </w:rPr>
        <w:t>Cadastro Nacional de Empresas Inidôneas e Suspensas - CEIS, mantido pela Controladoria-Geral da União e</w:t>
      </w:r>
    </w:p>
    <w:p w14:paraId="00EBE6DE">
      <w:pPr>
        <w:pStyle w:val="26"/>
        <w:numPr>
          <w:ilvl w:val="0"/>
          <w:numId w:val="7"/>
        </w:numPr>
        <w:spacing w:before="120" w:after="120" w:line="276" w:lineRule="auto"/>
        <w:ind w:left="1134" w:leftChars="0" w:firstLine="0" w:firstLineChars="0"/>
        <w:jc w:val="both"/>
        <w:rPr>
          <w:rFonts w:hint="default" w:ascii="Calibri" w:hAnsi="Calibri" w:cs="Calibri"/>
          <w:sz w:val="22"/>
          <w:szCs w:val="22"/>
          <w:lang w:eastAsia="ar-SA"/>
        </w:rPr>
      </w:pPr>
      <w:r>
        <w:rPr>
          <w:rFonts w:hint="default" w:ascii="Calibri" w:hAnsi="Calibri" w:cs="Calibri"/>
          <w:sz w:val="22"/>
          <w:szCs w:val="22"/>
          <w:lang w:eastAsia="ar-SA"/>
        </w:rPr>
        <w:t xml:space="preserve">Cadastro Nacional de Empresas Punidas – CNEP, mantido pela Controladoria-Geral da União </w:t>
      </w:r>
    </w:p>
    <w:p w14:paraId="491A7639">
      <w:pPr>
        <w:pStyle w:val="26"/>
        <w:spacing w:before="120" w:after="120" w:line="276" w:lineRule="auto"/>
        <w:ind w:left="1134"/>
        <w:jc w:val="both"/>
        <w:rPr>
          <w:rFonts w:hint="default" w:ascii="Calibri" w:hAnsi="Calibri" w:cs="Calibri"/>
          <w:sz w:val="22"/>
          <w:szCs w:val="22"/>
          <w:lang w:eastAsia="ar-SA"/>
        </w:rPr>
      </w:pPr>
      <w:r>
        <w:rPr>
          <w:rFonts w:hint="default" w:ascii="Calibri" w:hAnsi="Calibri" w:cs="Calibri"/>
          <w:sz w:val="22"/>
          <w:szCs w:val="22"/>
          <w:lang w:eastAsia="ar-SA"/>
        </w:rPr>
        <w:t>(</w:t>
      </w:r>
      <w:r>
        <w:rPr>
          <w:rFonts w:hint="default" w:ascii="Calibri" w:hAnsi="Calibri" w:cs="Calibri"/>
          <w:sz w:val="22"/>
          <w:szCs w:val="22"/>
        </w:rPr>
        <w:fldChar w:fldCharType="begin"/>
      </w:r>
      <w:r>
        <w:rPr>
          <w:rFonts w:hint="default" w:ascii="Calibri" w:hAnsi="Calibri" w:cs="Calibri"/>
          <w:sz w:val="22"/>
          <w:szCs w:val="22"/>
        </w:rPr>
        <w:instrText xml:space="preserve"> HYPERLINK "https://portaldatransparencia.gov.br/sancoes/consulta?cadastro=1%2C2" </w:instrText>
      </w:r>
      <w:r>
        <w:rPr>
          <w:rFonts w:hint="default" w:ascii="Calibri" w:hAnsi="Calibri" w:cs="Calibri"/>
          <w:sz w:val="22"/>
          <w:szCs w:val="22"/>
        </w:rPr>
        <w:fldChar w:fldCharType="separate"/>
      </w:r>
      <w:r>
        <w:rPr>
          <w:rStyle w:val="13"/>
          <w:rFonts w:hint="default" w:ascii="Calibri" w:hAnsi="Calibri" w:cs="Calibri"/>
          <w:sz w:val="22"/>
          <w:szCs w:val="22"/>
        </w:rPr>
        <w:t>https://portaldatransparencia.gov.br/sancoes/consulta?cadastro=1%2C2</w:t>
      </w:r>
      <w:r>
        <w:rPr>
          <w:rStyle w:val="13"/>
          <w:rFonts w:hint="default" w:ascii="Calibri" w:hAnsi="Calibri" w:cs="Calibri"/>
          <w:sz w:val="22"/>
          <w:szCs w:val="22"/>
        </w:rPr>
        <w:fldChar w:fldCharType="end"/>
      </w:r>
      <w:r>
        <w:rPr>
          <w:rFonts w:hint="default" w:ascii="Calibri" w:hAnsi="Calibri" w:cs="Calibri"/>
          <w:sz w:val="22"/>
          <w:szCs w:val="22"/>
          <w:lang w:eastAsia="ar-SA"/>
        </w:rPr>
        <w:t>)</w:t>
      </w:r>
    </w:p>
    <w:p w14:paraId="3D00723D">
      <w:pPr>
        <w:pStyle w:val="26"/>
        <w:spacing w:before="120" w:after="120" w:line="276" w:lineRule="auto"/>
        <w:ind w:left="1134"/>
        <w:jc w:val="both"/>
        <w:rPr>
          <w:rFonts w:hint="default" w:ascii="Calibri" w:hAnsi="Calibri" w:cs="Calibri"/>
          <w:sz w:val="22"/>
          <w:szCs w:val="22"/>
          <w:lang w:eastAsia="ar-SA"/>
        </w:rPr>
      </w:pPr>
      <w:r>
        <w:rPr>
          <w:rFonts w:hint="default" w:ascii="Calibri" w:hAnsi="Calibri" w:cs="Calibri"/>
          <w:sz w:val="22"/>
          <w:szCs w:val="22"/>
          <w:lang w:val="pt-BR" w:eastAsia="ar-SA"/>
        </w:rPr>
        <w:t xml:space="preserve">c) Cadastro de Apenados do E. Tribunal de Contas do Estado de São Paulo; </w:t>
      </w:r>
      <w:r>
        <w:rPr>
          <w:rFonts w:hint="default" w:ascii="Calibri" w:hAnsi="Calibri" w:cs="Calibri"/>
          <w:sz w:val="22"/>
          <w:szCs w:val="22"/>
          <w:lang w:val="pt-BR" w:eastAsia="ar-SA"/>
        </w:rPr>
        <w:fldChar w:fldCharType="begin"/>
      </w:r>
      <w:r>
        <w:rPr>
          <w:rFonts w:hint="default" w:ascii="Calibri" w:hAnsi="Calibri" w:cs="Calibri"/>
          <w:sz w:val="22"/>
          <w:szCs w:val="22"/>
          <w:lang w:val="pt-BR" w:eastAsia="ar-SA"/>
        </w:rPr>
        <w:instrText xml:space="preserve"> HYPERLINK "https://www4.tce.sp.gov.br/apenados/publico/#/" </w:instrText>
      </w:r>
      <w:r>
        <w:rPr>
          <w:rFonts w:hint="default" w:ascii="Calibri" w:hAnsi="Calibri" w:cs="Calibri"/>
          <w:sz w:val="22"/>
          <w:szCs w:val="22"/>
          <w:lang w:val="pt-BR" w:eastAsia="ar-SA"/>
        </w:rPr>
        <w:fldChar w:fldCharType="separate"/>
      </w:r>
      <w:r>
        <w:rPr>
          <w:rStyle w:val="13"/>
          <w:rFonts w:hint="default" w:ascii="Calibri" w:hAnsi="Calibri" w:cs="Calibri"/>
          <w:sz w:val="22"/>
          <w:szCs w:val="22"/>
          <w:lang w:val="pt-BR" w:eastAsia="ar-SA"/>
        </w:rPr>
        <w:t>https://www4.tce.sp.gov.br/apenados/publico/#/</w:t>
      </w:r>
      <w:r>
        <w:rPr>
          <w:rFonts w:hint="default" w:ascii="Calibri" w:hAnsi="Calibri" w:cs="Calibri"/>
          <w:sz w:val="22"/>
          <w:szCs w:val="22"/>
          <w:lang w:val="pt-BR" w:eastAsia="ar-SA"/>
        </w:rPr>
        <w:fldChar w:fldCharType="end"/>
      </w:r>
      <w:r>
        <w:rPr>
          <w:rFonts w:hint="default" w:ascii="Calibri" w:hAnsi="Calibri" w:cs="Calibri"/>
          <w:sz w:val="22"/>
          <w:szCs w:val="22"/>
          <w:lang w:val="pt-BR" w:eastAsia="ar-SA"/>
        </w:rPr>
        <w:t xml:space="preserve"> </w:t>
      </w:r>
      <w:r>
        <w:rPr>
          <w:rFonts w:hint="default" w:ascii="Calibri" w:hAnsi="Calibri" w:cs="Calibri"/>
          <w:sz w:val="22"/>
          <w:szCs w:val="22"/>
          <w:lang w:eastAsia="ar-SA"/>
        </w:rPr>
        <w:t>.</w:t>
      </w:r>
    </w:p>
    <w:p w14:paraId="476521EA">
      <w:pPr>
        <w:pStyle w:val="26"/>
        <w:spacing w:before="120" w:line="276" w:lineRule="auto"/>
        <w:ind w:left="1276"/>
        <w:jc w:val="both"/>
        <w:rPr>
          <w:rFonts w:asciiTheme="majorHAnsi" w:hAnsiTheme="majorHAnsi" w:cstheme="majorHAnsi"/>
          <w:sz w:val="22"/>
          <w:szCs w:val="22"/>
          <w:lang w:eastAsia="ar-SA"/>
        </w:rPr>
      </w:pPr>
    </w:p>
    <w:p w14:paraId="1AB2289B">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Caso atendidas as condições de participação, será iniciado o procedimento de habilitação.</w:t>
      </w:r>
    </w:p>
    <w:p w14:paraId="5E8C8B98">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 xml:space="preserve">Caso o licitante provisoriamente classificado em primeiro lugar enquadre-se no tratamento favorecido às ME/EPPs, o pregoeiro obedecerá ao disposto nos arts. 42 e 43 da Lei Complementar nº </w:t>
      </w:r>
      <w:r>
        <w:rPr>
          <w:rFonts w:hint="default" w:asciiTheme="majorHAnsi" w:hAnsiTheme="majorHAnsi" w:cstheme="majorHAnsi"/>
          <w:sz w:val="22"/>
          <w:szCs w:val="22"/>
          <w:lang w:val="pt-BR"/>
        </w:rPr>
        <w:t>1</w:t>
      </w:r>
      <w:r>
        <w:rPr>
          <w:rFonts w:asciiTheme="majorHAnsi" w:hAnsiTheme="majorHAnsi" w:cstheme="majorHAnsi"/>
          <w:sz w:val="22"/>
          <w:szCs w:val="22"/>
        </w:rPr>
        <w:t>23/06.</w:t>
      </w:r>
    </w:p>
    <w:p w14:paraId="47FBAC5B">
      <w:pPr>
        <w:pStyle w:val="58"/>
        <w:numPr>
          <w:ilvl w:val="1"/>
          <w:numId w:val="6"/>
        </w:numPr>
        <w:tabs>
          <w:tab w:val="left" w:pos="480"/>
        </w:tabs>
        <w:spacing w:after="0"/>
        <w:ind w:left="18" w:leftChars="0" w:hanging="18" w:firstLineChars="0"/>
        <w:rPr>
          <w:rFonts w:asciiTheme="majorHAnsi" w:hAnsiTheme="majorHAnsi" w:cstheme="majorHAnsi"/>
          <w:sz w:val="22"/>
          <w:szCs w:val="22"/>
          <w:highlight w:val="none"/>
        </w:rPr>
      </w:pPr>
      <w:r>
        <w:rPr>
          <w:rFonts w:asciiTheme="majorHAnsi" w:hAnsiTheme="majorHAnsi" w:cstheme="majorHAnsi"/>
          <w:b/>
          <w:bCs/>
          <w:sz w:val="22"/>
          <w:szCs w:val="22"/>
          <w:highlight w:val="none"/>
        </w:rPr>
        <w:t xml:space="preserve">Os documentos </w:t>
      </w:r>
      <w:r>
        <w:rPr>
          <w:rFonts w:hint="default" w:asciiTheme="majorHAnsi" w:hAnsiTheme="majorHAnsi" w:cstheme="majorHAnsi"/>
          <w:b/>
          <w:bCs/>
          <w:sz w:val="22"/>
          <w:szCs w:val="22"/>
          <w:highlight w:val="none"/>
          <w:lang w:val="pt-BR"/>
        </w:rPr>
        <w:t>de habilitação a serem apresentados estão descritos no ANEXO III</w:t>
      </w:r>
      <w:r>
        <w:rPr>
          <w:rFonts w:asciiTheme="majorHAnsi" w:hAnsiTheme="majorHAnsi" w:cstheme="majorHAnsi"/>
          <w:b/>
          <w:bCs/>
          <w:sz w:val="22"/>
          <w:szCs w:val="22"/>
          <w:highlight w:val="none"/>
        </w:rPr>
        <w:t xml:space="preserve">, </w:t>
      </w:r>
      <w:r>
        <w:rPr>
          <w:rFonts w:hint="default" w:asciiTheme="majorHAnsi" w:hAnsiTheme="majorHAnsi" w:cstheme="majorHAnsi"/>
          <w:b/>
          <w:bCs/>
          <w:sz w:val="22"/>
          <w:szCs w:val="22"/>
          <w:highlight w:val="none"/>
          <w:lang w:val="pt-BR"/>
        </w:rPr>
        <w:t xml:space="preserve">e </w:t>
      </w:r>
      <w:r>
        <w:rPr>
          <w:rFonts w:asciiTheme="majorHAnsi" w:hAnsiTheme="majorHAnsi" w:cstheme="majorHAnsi"/>
          <w:b/>
          <w:bCs/>
          <w:sz w:val="22"/>
          <w:szCs w:val="22"/>
          <w:highlight w:val="none"/>
        </w:rPr>
        <w:t>serão exigidos do licitante melhor classificado.</w:t>
      </w:r>
    </w:p>
    <w:p w14:paraId="29020CA9">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bCs/>
          <w:sz w:val="22"/>
          <w:szCs w:val="22"/>
        </w:rPr>
        <w:t>Os documentos exigidos para fins</w:t>
      </w:r>
      <w:r>
        <w:rPr>
          <w:rFonts w:asciiTheme="majorHAnsi" w:hAnsiTheme="majorHAnsi" w:cstheme="majorHAnsi"/>
          <w:sz w:val="22"/>
          <w:szCs w:val="22"/>
        </w:rPr>
        <w:t xml:space="preserve"> de habilitação </w:t>
      </w:r>
      <w:r>
        <w:rPr>
          <w:rFonts w:hint="default" w:asciiTheme="majorHAnsi" w:hAnsiTheme="majorHAnsi" w:cstheme="majorHAnsi"/>
          <w:sz w:val="22"/>
          <w:szCs w:val="22"/>
          <w:lang w:val="pt-BR"/>
        </w:rPr>
        <w:t xml:space="preserve">deverão </w:t>
      </w:r>
      <w:r>
        <w:rPr>
          <w:rFonts w:asciiTheme="majorHAnsi" w:hAnsiTheme="majorHAnsi" w:cstheme="majorHAnsi"/>
          <w:sz w:val="22"/>
          <w:szCs w:val="22"/>
        </w:rPr>
        <w:t>ser apresentados por meio eletrônico, via Sistema BBMNET.</w:t>
      </w:r>
    </w:p>
    <w:p w14:paraId="7282BAE8">
      <w:pPr>
        <w:pStyle w:val="60"/>
        <w:keepNext w:val="0"/>
        <w:keepLines w:val="0"/>
        <w:pageBreakBefore w:val="0"/>
        <w:widowControl/>
        <w:numPr>
          <w:ilvl w:val="2"/>
          <w:numId w:val="6"/>
        </w:numPr>
        <w:kinsoku/>
        <w:wordWrap/>
        <w:overflowPunct/>
        <w:topLinePunct w:val="0"/>
        <w:autoSpaceDE/>
        <w:autoSpaceDN/>
        <w:bidi w:val="0"/>
        <w:adjustRightInd/>
        <w:snapToGrid/>
        <w:spacing w:before="0" w:after="361" w:afterLines="100" w:line="240" w:lineRule="auto"/>
        <w:ind w:left="143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 xml:space="preserve">Havendo dúvida sobre a veracidade do documento, </w:t>
      </w:r>
      <w:r>
        <w:rPr>
          <w:rFonts w:hint="default" w:asciiTheme="majorHAnsi" w:hAnsiTheme="majorHAnsi" w:cstheme="majorHAnsi"/>
          <w:sz w:val="22"/>
          <w:szCs w:val="22"/>
          <w:lang w:val="pt-BR"/>
        </w:rPr>
        <w:t xml:space="preserve">que não possa ser dirimida de forma digital/eletrônica,  </w:t>
      </w:r>
      <w:r>
        <w:rPr>
          <w:rFonts w:asciiTheme="majorHAnsi" w:hAnsiTheme="majorHAnsi" w:cstheme="majorHAnsi"/>
          <w:sz w:val="22"/>
          <w:szCs w:val="22"/>
        </w:rPr>
        <w:t>será exigida a apresentação dos originais não-digitais.</w:t>
      </w:r>
    </w:p>
    <w:p w14:paraId="50A91B30">
      <w:pPr>
        <w:pStyle w:val="58"/>
        <w:keepNext w:val="0"/>
        <w:keepLines w:val="0"/>
        <w:pageBreakBefore w:val="0"/>
        <w:widowControl/>
        <w:numPr>
          <w:ilvl w:val="1"/>
          <w:numId w:val="6"/>
        </w:numPr>
        <w:tabs>
          <w:tab w:val="left" w:pos="480"/>
        </w:tabs>
        <w:kinsoku/>
        <w:wordWrap/>
        <w:overflowPunct/>
        <w:topLinePunct w:val="0"/>
        <w:autoSpaceDE/>
        <w:autoSpaceDN/>
        <w:bidi w:val="0"/>
        <w:adjustRightInd/>
        <w:snapToGrid/>
        <w:spacing w:after="361" w:afterLines="100"/>
        <w:ind w:left="18" w:leftChars="0" w:hanging="18" w:firstLineChars="0"/>
        <w:textAlignment w:val="auto"/>
        <w:rPr>
          <w:rFonts w:asciiTheme="majorHAnsi" w:hAnsiTheme="majorHAnsi" w:cstheme="majorHAnsi"/>
          <w:b/>
          <w:bCs/>
          <w:i/>
          <w:sz w:val="22"/>
          <w:szCs w:val="22"/>
        </w:rPr>
      </w:pPr>
      <w:r>
        <w:rPr>
          <w:rFonts w:asciiTheme="majorHAnsi" w:hAnsiTheme="majorHAnsi" w:cstheme="majorHAnsi"/>
          <w:b/>
          <w:bCs/>
          <w:sz w:val="22"/>
          <w:szCs w:val="22"/>
        </w:rPr>
        <w:t>Os documentos exigidos para fins de habilitação</w:t>
      </w:r>
      <w:r>
        <w:rPr>
          <w:rFonts w:hint="default" w:asciiTheme="majorHAnsi" w:hAnsiTheme="majorHAnsi" w:cstheme="majorHAnsi"/>
          <w:b/>
          <w:bCs/>
          <w:sz w:val="22"/>
          <w:szCs w:val="22"/>
          <w:lang w:val="pt-BR"/>
        </w:rPr>
        <w:t xml:space="preserve"> jurídica e regularidade fiscal e trabalhista,</w:t>
      </w:r>
      <w:r>
        <w:rPr>
          <w:rFonts w:asciiTheme="majorHAnsi" w:hAnsiTheme="majorHAnsi" w:cstheme="majorHAnsi"/>
          <w:b/>
          <w:bCs/>
          <w:sz w:val="22"/>
          <w:szCs w:val="22"/>
        </w:rPr>
        <w:t xml:space="preserve"> </w:t>
      </w:r>
      <w:r>
        <w:rPr>
          <w:rFonts w:hint="default" w:asciiTheme="majorHAnsi" w:hAnsiTheme="majorHAnsi" w:cstheme="majorHAnsi"/>
          <w:b/>
          <w:bCs/>
          <w:sz w:val="22"/>
          <w:szCs w:val="22"/>
          <w:lang w:val="pt-BR"/>
        </w:rPr>
        <w:t xml:space="preserve">disponíveis para consulta no SICAF, </w:t>
      </w:r>
      <w:r>
        <w:rPr>
          <w:rFonts w:asciiTheme="majorHAnsi" w:hAnsiTheme="majorHAnsi" w:cstheme="majorHAnsi"/>
          <w:b/>
          <w:bCs/>
          <w:sz w:val="22"/>
          <w:szCs w:val="22"/>
        </w:rPr>
        <w:t>poderão ser substituídos p</w:t>
      </w:r>
      <w:r>
        <w:rPr>
          <w:rFonts w:hint="default" w:asciiTheme="majorHAnsi" w:hAnsiTheme="majorHAnsi" w:cstheme="majorHAnsi"/>
          <w:b/>
          <w:bCs/>
          <w:sz w:val="22"/>
          <w:szCs w:val="22"/>
          <w:lang w:val="pt-BR"/>
        </w:rPr>
        <w:t>elo</w:t>
      </w:r>
      <w:r>
        <w:rPr>
          <w:rFonts w:asciiTheme="majorHAnsi" w:hAnsiTheme="majorHAnsi" w:cstheme="majorHAnsi"/>
          <w:b/>
          <w:bCs/>
          <w:sz w:val="22"/>
          <w:szCs w:val="22"/>
        </w:rPr>
        <w:t xml:space="preserve"> registro cadastral </w:t>
      </w:r>
      <w:r>
        <w:rPr>
          <w:rFonts w:hint="default" w:asciiTheme="majorHAnsi" w:hAnsiTheme="majorHAnsi" w:cstheme="majorHAnsi"/>
          <w:b/>
          <w:bCs/>
          <w:sz w:val="22"/>
          <w:szCs w:val="22"/>
          <w:lang w:val="pt-BR"/>
        </w:rPr>
        <w:t>válido junto ao mesmo</w:t>
      </w:r>
      <w:r>
        <w:rPr>
          <w:rFonts w:asciiTheme="majorHAnsi" w:hAnsiTheme="majorHAnsi" w:cstheme="majorHAnsi"/>
          <w:b/>
          <w:bCs/>
          <w:sz w:val="22"/>
          <w:szCs w:val="22"/>
        </w:rPr>
        <w:t>, desde que o registro tenha sido feito em obediência ao disposto na Lei nº 14.133/2021.</w:t>
      </w:r>
      <w:r>
        <w:rPr>
          <w:rFonts w:hint="default" w:asciiTheme="majorHAnsi" w:hAnsiTheme="majorHAnsi" w:cstheme="majorHAnsi"/>
          <w:b/>
          <w:bCs/>
          <w:sz w:val="22"/>
          <w:szCs w:val="22"/>
          <w:lang w:val="pt-BR"/>
        </w:rPr>
        <w:t xml:space="preserve"> Os demais documentos exigidos neste edital, que não estejam disponíveis no SICAF, bem como, as declarações exigidas nos demais anexos deverão ser enviados através do sistema, mediante autorização/determinação do Pregoeiro.</w:t>
      </w:r>
    </w:p>
    <w:p w14:paraId="3DEA15D5">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Eventual inabilitação do licitante será considerada para fins de apuração da veracidade das informações prestadas na declaração de cumprimento aos requisitos de habilitação, conforme o art. 63, I, da Lei nº 14.133/2021.</w:t>
      </w:r>
    </w:p>
    <w:p w14:paraId="3B02BE94">
      <w:pPr>
        <w:pStyle w:val="58"/>
        <w:numPr>
          <w:ilvl w:val="1"/>
          <w:numId w:val="6"/>
        </w:numPr>
        <w:tabs>
          <w:tab w:val="left" w:pos="480"/>
        </w:tabs>
        <w:spacing w:after="0"/>
        <w:ind w:left="18" w:leftChars="0" w:hanging="18" w:firstLineChars="0"/>
        <w:rPr>
          <w:rFonts w:asciiTheme="majorHAnsi" w:hAnsiTheme="majorHAnsi" w:cstheme="majorHAnsi"/>
          <w:i/>
          <w:color w:val="000000" w:themeColor="text1"/>
          <w:sz w:val="22"/>
          <w:szCs w:val="22"/>
          <w:highlight w:val="none"/>
          <w14:textFill>
            <w14:solidFill>
              <w14:schemeClr w14:val="tx1"/>
            </w14:solidFill>
          </w14:textFill>
        </w:rPr>
      </w:pPr>
      <w:r>
        <w:rPr>
          <w:rFonts w:asciiTheme="majorHAnsi" w:hAnsiTheme="majorHAnsi" w:cstheme="majorHAnsi"/>
          <w:color w:val="000000" w:themeColor="text1"/>
          <w:sz w:val="22"/>
          <w:szCs w:val="22"/>
          <w:highlight w:val="none"/>
          <w14:textFill>
            <w14:solidFill>
              <w14:schemeClr w14:val="tx1"/>
            </w14:solidFill>
          </w14:textFill>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Fonts w:hint="default" w:asciiTheme="majorHAnsi" w:hAnsiTheme="majorHAnsi" w:cstheme="majorHAnsi"/>
          <w:color w:val="000000" w:themeColor="text1"/>
          <w:sz w:val="22"/>
          <w:szCs w:val="22"/>
          <w:highlight w:val="none"/>
          <w:lang w:val="pt-BR"/>
          <w14:textFill>
            <w14:solidFill>
              <w14:schemeClr w14:val="tx1"/>
            </w14:solidFill>
          </w14:textFill>
        </w:rPr>
        <w:t>(nos termos do item 3.2.2)</w:t>
      </w:r>
      <w:r>
        <w:rPr>
          <w:rFonts w:asciiTheme="majorHAnsi" w:hAnsiTheme="majorHAnsi" w:cstheme="majorHAnsi"/>
          <w:color w:val="000000" w:themeColor="text1"/>
          <w:sz w:val="22"/>
          <w:szCs w:val="22"/>
          <w:highlight w:val="none"/>
          <w14:textFill>
            <w14:solidFill>
              <w14:schemeClr w14:val="tx1"/>
            </w14:solidFill>
          </w14:textFill>
        </w:rPr>
        <w:t>.</w:t>
      </w:r>
    </w:p>
    <w:p w14:paraId="09D17933">
      <w:pPr>
        <w:pStyle w:val="58"/>
        <w:keepNext w:val="0"/>
        <w:keepLines w:val="0"/>
        <w:pageBreakBefore w:val="0"/>
        <w:widowControl/>
        <w:numPr>
          <w:ilvl w:val="1"/>
          <w:numId w:val="6"/>
        </w:numPr>
        <w:tabs>
          <w:tab w:val="left" w:pos="480"/>
        </w:tabs>
        <w:kinsoku/>
        <w:wordWrap/>
        <w:overflowPunct/>
        <w:topLinePunct w:val="0"/>
        <w:autoSpaceDE/>
        <w:autoSpaceDN/>
        <w:bidi w:val="0"/>
        <w:adjustRightInd/>
        <w:snapToGrid/>
        <w:spacing w:before="120" w:after="0"/>
        <w:ind w:left="18" w:leftChars="0" w:hanging="18" w:firstLineChars="0"/>
        <w:textAlignment w:val="auto"/>
        <w:rPr>
          <w:rFonts w:asciiTheme="majorHAnsi" w:hAnsiTheme="majorHAnsi" w:cstheme="majorHAnsi"/>
          <w:i/>
          <w:iCs/>
          <w:sz w:val="22"/>
          <w:szCs w:val="22"/>
        </w:rPr>
      </w:pPr>
      <w:r>
        <w:rPr>
          <w:rFonts w:asciiTheme="majorHAnsi" w:hAnsiTheme="majorHAnsi" w:cstheme="majorHAnsi"/>
          <w:b/>
          <w:bCs/>
          <w:sz w:val="22"/>
          <w:szCs w:val="22"/>
        </w:rPr>
        <w:t>A verificação pelo pregoeiro, em sítios eletrônicos oficiais de órgãos e entidades emissores de certidões constitui meio legal de prova, para fins de habilitação</w:t>
      </w:r>
      <w:r>
        <w:rPr>
          <w:rFonts w:asciiTheme="majorHAnsi" w:hAnsiTheme="majorHAnsi" w:cstheme="majorHAnsi"/>
          <w:sz w:val="22"/>
          <w:szCs w:val="22"/>
        </w:rPr>
        <w:t>.</w:t>
      </w:r>
    </w:p>
    <w:p w14:paraId="2B6C648F">
      <w:pPr>
        <w:pStyle w:val="26"/>
        <w:keepNext w:val="0"/>
        <w:keepLines w:val="0"/>
        <w:pageBreakBefore w:val="0"/>
        <w:widowControl/>
        <w:numPr>
          <w:ilvl w:val="1"/>
          <w:numId w:val="6"/>
        </w:numPr>
        <w:tabs>
          <w:tab w:val="left" w:pos="480"/>
        </w:tabs>
        <w:kinsoku/>
        <w:wordWrap/>
        <w:overflowPunct/>
        <w:topLinePunct w:val="0"/>
        <w:autoSpaceDE/>
        <w:autoSpaceDN/>
        <w:bidi w:val="0"/>
        <w:adjustRightInd/>
        <w:snapToGrid/>
        <w:spacing w:before="120" w:line="276" w:lineRule="auto"/>
        <w:ind w:left="18" w:leftChars="0" w:hanging="18" w:firstLineChars="0"/>
        <w:jc w:val="both"/>
        <w:textAlignment w:val="auto"/>
        <w:rPr>
          <w:rFonts w:asciiTheme="majorHAnsi" w:hAnsiTheme="majorHAnsi" w:cstheme="majorHAnsi"/>
          <w:color w:val="000000"/>
          <w:sz w:val="22"/>
          <w:szCs w:val="22"/>
        </w:rPr>
      </w:pPr>
      <w:r>
        <w:rPr>
          <w:rFonts w:asciiTheme="majorHAnsi" w:hAnsiTheme="majorHAnsi" w:cstheme="majorHAnsi"/>
          <w:color w:val="000000"/>
          <w:sz w:val="22"/>
          <w:szCs w:val="22"/>
        </w:rPr>
        <w:t>Os documentos adicionais exigidos para habilitação serão enviados por meio do sistema, em formato digital, no prazo estipulado pelo pregoeiro.</w:t>
      </w:r>
    </w:p>
    <w:p w14:paraId="4CDE3549">
      <w:pPr>
        <w:pStyle w:val="58"/>
        <w:numPr>
          <w:ilvl w:val="1"/>
          <w:numId w:val="6"/>
        </w:numPr>
        <w:tabs>
          <w:tab w:val="left" w:pos="480"/>
        </w:tabs>
        <w:spacing w:after="0"/>
        <w:ind w:left="18" w:leftChars="0" w:hanging="18" w:firstLineChars="0"/>
        <w:rPr>
          <w:rFonts w:asciiTheme="majorHAnsi" w:hAnsiTheme="majorHAnsi" w:cstheme="majorHAnsi"/>
          <w:i/>
          <w:iCs/>
          <w:sz w:val="22"/>
          <w:szCs w:val="22"/>
        </w:rPr>
      </w:pPr>
      <w:r>
        <w:rPr>
          <w:rFonts w:asciiTheme="majorHAnsi" w:hAnsiTheme="majorHAnsi" w:cstheme="majorHAnsi"/>
          <w:sz w:val="22"/>
          <w:szCs w:val="22"/>
        </w:rPr>
        <w:t xml:space="preserve">Após a </w:t>
      </w:r>
      <w:r>
        <w:rPr>
          <w:rFonts w:asciiTheme="majorHAnsi" w:hAnsiTheme="majorHAnsi" w:cstheme="majorHAnsi"/>
          <w:color w:val="auto"/>
          <w:sz w:val="22"/>
          <w:szCs w:val="22"/>
        </w:rPr>
        <w:t xml:space="preserve">vinculação </w:t>
      </w:r>
      <w:r>
        <w:rPr>
          <w:rFonts w:asciiTheme="majorHAnsi" w:hAnsiTheme="majorHAnsi" w:cstheme="majorHAnsi"/>
          <w:sz w:val="22"/>
          <w:szCs w:val="22"/>
        </w:rPr>
        <w:t>dos documentos para habilitação, não será permitida a substituição ou a apresentação de novos documentos, salvo em sede de diligência</w:t>
      </w:r>
      <w:r>
        <w:rPr>
          <w:rFonts w:hint="default" w:asciiTheme="majorHAnsi" w:hAnsiTheme="majorHAnsi" w:cstheme="majorHAnsi"/>
          <w:sz w:val="22"/>
          <w:szCs w:val="22"/>
          <w:lang w:val="pt-BR"/>
        </w:rPr>
        <w:t xml:space="preserve"> para</w:t>
      </w:r>
      <w:r>
        <w:rPr>
          <w:rFonts w:asciiTheme="majorHAnsi" w:hAnsiTheme="majorHAnsi" w:cstheme="majorHAnsi"/>
          <w:sz w:val="22"/>
          <w:szCs w:val="22"/>
        </w:rPr>
        <w:t>:</w:t>
      </w:r>
    </w:p>
    <w:p w14:paraId="292E982B">
      <w:pPr>
        <w:pStyle w:val="60"/>
        <w:keepNext w:val="0"/>
        <w:keepLines w:val="0"/>
        <w:pageBreakBefore w:val="0"/>
        <w:widowControl/>
        <w:numPr>
          <w:ilvl w:val="2"/>
          <w:numId w:val="6"/>
        </w:numPr>
        <w:kinsoku/>
        <w:wordWrap/>
        <w:overflowPunct/>
        <w:topLinePunct w:val="0"/>
        <w:autoSpaceDE/>
        <w:autoSpaceDN/>
        <w:bidi w:val="0"/>
        <w:adjustRightInd/>
        <w:snapToGrid/>
        <w:spacing w:before="0" w:after="0" w:line="240" w:lineRule="auto"/>
        <w:ind w:left="1430" w:leftChars="0" w:hanging="720" w:firstLineChars="0"/>
        <w:textAlignment w:val="auto"/>
        <w:rPr>
          <w:rFonts w:asciiTheme="majorHAnsi" w:hAnsiTheme="majorHAnsi" w:cstheme="majorHAnsi"/>
          <w:i/>
          <w:iCs/>
          <w:sz w:val="22"/>
          <w:szCs w:val="22"/>
        </w:rPr>
      </w:pPr>
      <w:r>
        <w:rPr>
          <w:rFonts w:asciiTheme="majorHAnsi" w:hAnsiTheme="majorHAnsi" w:cstheme="majorHAnsi"/>
          <w:sz w:val="22"/>
          <w:szCs w:val="22"/>
        </w:rPr>
        <w:t>complementação de informações acerca dos documentos já apresentados pelos licitantes e desde que necessária para apurar fatos existentes à época da abertura do certame; e</w:t>
      </w:r>
    </w:p>
    <w:p w14:paraId="37E5D7AF">
      <w:pPr>
        <w:pStyle w:val="60"/>
        <w:keepNext w:val="0"/>
        <w:keepLines w:val="0"/>
        <w:pageBreakBefore w:val="0"/>
        <w:widowControl/>
        <w:numPr>
          <w:ilvl w:val="2"/>
          <w:numId w:val="6"/>
        </w:numPr>
        <w:kinsoku/>
        <w:wordWrap/>
        <w:overflowPunct/>
        <w:topLinePunct w:val="0"/>
        <w:autoSpaceDE/>
        <w:autoSpaceDN/>
        <w:bidi w:val="0"/>
        <w:adjustRightInd/>
        <w:snapToGrid/>
        <w:spacing w:before="0" w:after="361" w:afterLines="100" w:line="240" w:lineRule="auto"/>
        <w:ind w:left="1430" w:leftChars="0" w:hanging="720" w:firstLineChars="0"/>
        <w:textAlignment w:val="auto"/>
        <w:rPr>
          <w:rFonts w:asciiTheme="majorHAnsi" w:hAnsiTheme="majorHAnsi" w:cstheme="majorHAnsi"/>
          <w:i/>
          <w:iCs/>
          <w:sz w:val="22"/>
          <w:szCs w:val="22"/>
        </w:rPr>
      </w:pPr>
      <w:r>
        <w:rPr>
          <w:rFonts w:asciiTheme="majorHAnsi" w:hAnsiTheme="majorHAnsi" w:cstheme="majorHAnsi"/>
          <w:sz w:val="22"/>
          <w:szCs w:val="22"/>
        </w:rPr>
        <w:t>atualização de documentos cuja validade tenha expirado após a data de recebimento das propostas;</w:t>
      </w:r>
    </w:p>
    <w:p w14:paraId="02F7DEED">
      <w:pPr>
        <w:pStyle w:val="58"/>
        <w:keepNext w:val="0"/>
        <w:keepLines w:val="0"/>
        <w:pageBreakBefore w:val="0"/>
        <w:widowControl/>
        <w:numPr>
          <w:ilvl w:val="1"/>
          <w:numId w:val="6"/>
        </w:numPr>
        <w:tabs>
          <w:tab w:val="left" w:pos="480"/>
        </w:tabs>
        <w:kinsoku/>
        <w:wordWrap/>
        <w:overflowPunct/>
        <w:topLinePunct w:val="0"/>
        <w:autoSpaceDE/>
        <w:autoSpaceDN/>
        <w:bidi w:val="0"/>
        <w:adjustRightInd/>
        <w:snapToGrid/>
        <w:spacing w:after="361" w:afterLines="100"/>
        <w:ind w:left="18" w:leftChars="0" w:hanging="18" w:firstLineChars="0"/>
        <w:textAlignment w:val="auto"/>
        <w:rPr>
          <w:rFonts w:asciiTheme="majorHAnsi" w:hAnsiTheme="majorHAnsi" w:cstheme="majorHAnsi"/>
          <w:i/>
          <w:sz w:val="22"/>
          <w:szCs w:val="22"/>
        </w:rPr>
      </w:pPr>
      <w:bookmarkStart w:id="31" w:name="_Ref114670319"/>
      <w:r>
        <w:rPr>
          <w:rFonts w:asciiTheme="majorHAnsi" w:hAnsiTheme="majorHAnsi" w:cstheme="majorHAnsi"/>
          <w:sz w:val="22"/>
          <w:szCs w:val="22"/>
        </w:rPr>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bookmarkEnd w:id="31"/>
    </w:p>
    <w:p w14:paraId="3AF78A08">
      <w:pPr>
        <w:pStyle w:val="58"/>
        <w:numPr>
          <w:ilvl w:val="1"/>
          <w:numId w:val="6"/>
        </w:numPr>
        <w:tabs>
          <w:tab w:val="left" w:pos="480"/>
        </w:tabs>
        <w:spacing w:after="0"/>
        <w:ind w:left="18" w:leftChars="0" w:hanging="18" w:firstLineChars="0"/>
        <w:rPr>
          <w:rFonts w:asciiTheme="majorHAnsi" w:hAnsiTheme="majorHAnsi" w:cstheme="majorHAnsi"/>
          <w:i/>
          <w:iCs/>
          <w:color w:val="auto"/>
          <w:sz w:val="22"/>
          <w:szCs w:val="22"/>
        </w:rPr>
      </w:pPr>
      <w:bookmarkStart w:id="32" w:name="_Ref114665528"/>
      <w:r>
        <w:rPr>
          <w:rFonts w:asciiTheme="majorHAnsi" w:hAnsiTheme="majorHAnsi" w:cstheme="majorHAnsi"/>
          <w:sz w:val="22"/>
          <w:szCs w:val="22"/>
        </w:rPr>
        <w:t xml:space="preserve">Na hipótese de o licitante não atender às exigências para habilitação, o pregoeiro examinará a proposta subsequente e assim sucessivamente, na ordem </w:t>
      </w:r>
      <w:r>
        <w:rPr>
          <w:rFonts w:asciiTheme="majorHAnsi" w:hAnsiTheme="majorHAnsi" w:cstheme="majorHAnsi"/>
          <w:color w:val="auto"/>
          <w:sz w:val="22"/>
          <w:szCs w:val="22"/>
        </w:rPr>
        <w:t>de classificação, até a apuração de uma proposta que atenda ao presente edital.</w:t>
      </w:r>
      <w:bookmarkEnd w:id="32"/>
    </w:p>
    <w:p w14:paraId="532482A2">
      <w:pPr>
        <w:pStyle w:val="58"/>
        <w:keepNext w:val="0"/>
        <w:keepLines w:val="0"/>
        <w:pageBreakBefore w:val="0"/>
        <w:widowControl/>
        <w:numPr>
          <w:ilvl w:val="1"/>
          <w:numId w:val="0"/>
        </w:numPr>
        <w:tabs>
          <w:tab w:val="left" w:pos="480"/>
        </w:tabs>
        <w:kinsoku/>
        <w:wordWrap/>
        <w:overflowPunct/>
        <w:topLinePunct w:val="0"/>
        <w:autoSpaceDE/>
        <w:autoSpaceDN/>
        <w:bidi w:val="0"/>
        <w:adjustRightInd/>
        <w:snapToGrid/>
        <w:spacing w:before="0" w:after="0" w:line="240" w:lineRule="auto"/>
        <w:ind w:leftChars="0"/>
        <w:textAlignment w:val="auto"/>
        <w:rPr>
          <w:rFonts w:asciiTheme="majorHAnsi" w:hAnsiTheme="majorHAnsi" w:cstheme="majorHAnsi"/>
          <w:i/>
          <w:iCs/>
          <w:color w:val="auto"/>
          <w:sz w:val="22"/>
          <w:szCs w:val="22"/>
        </w:rPr>
      </w:pPr>
    </w:p>
    <w:p w14:paraId="2966AE35">
      <w:pPr>
        <w:pStyle w:val="41"/>
        <w:numPr>
          <w:ilvl w:val="0"/>
          <w:numId w:val="6"/>
        </w:numPr>
        <w:spacing w:before="120" w:line="276" w:lineRule="auto"/>
        <w:ind w:left="420" w:leftChars="0" w:hanging="420" w:firstLineChars="0"/>
        <w:rPr>
          <w:rFonts w:asciiTheme="majorHAnsi" w:hAnsiTheme="majorHAnsi" w:cstheme="majorHAnsi"/>
          <w:sz w:val="22"/>
          <w:szCs w:val="22"/>
        </w:rPr>
      </w:pPr>
      <w:bookmarkStart w:id="33" w:name="_Toc122606110"/>
      <w:r>
        <w:rPr>
          <w:rFonts w:asciiTheme="majorHAnsi" w:hAnsiTheme="majorHAnsi" w:cstheme="majorHAnsi"/>
          <w:sz w:val="22"/>
          <w:szCs w:val="22"/>
        </w:rPr>
        <w:t xml:space="preserve"> DOS RECURSOS</w:t>
      </w:r>
      <w:bookmarkEnd w:id="33"/>
    </w:p>
    <w:p w14:paraId="7B963408"/>
    <w:p w14:paraId="75C465E6">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A interposição de recurso contra a decisão proferida pelo pregoeiro observará o disposto no art. 165 da Lei nº 14.133, de 2021.</w:t>
      </w:r>
    </w:p>
    <w:p w14:paraId="192EF482">
      <w:pPr>
        <w:pStyle w:val="58"/>
        <w:keepNext w:val="0"/>
        <w:keepLines w:val="0"/>
        <w:pageBreakBefore w:val="0"/>
        <w:widowControl/>
        <w:numPr>
          <w:ilvl w:val="1"/>
          <w:numId w:val="6"/>
        </w:numPr>
        <w:tabs>
          <w:tab w:val="left" w:pos="480"/>
        </w:tabs>
        <w:kinsoku/>
        <w:wordWrap/>
        <w:overflowPunct/>
        <w:topLinePunct w:val="0"/>
        <w:autoSpaceDE/>
        <w:autoSpaceDN/>
        <w:bidi w:val="0"/>
        <w:adjustRightInd/>
        <w:snapToGrid/>
        <w:spacing w:after="181" w:afterLines="50"/>
        <w:ind w:left="18" w:leftChars="0" w:hanging="18" w:firstLineChars="0"/>
        <w:textAlignment w:val="auto"/>
        <w:rPr>
          <w:rFonts w:asciiTheme="majorHAnsi" w:hAnsiTheme="majorHAnsi" w:cstheme="majorHAnsi"/>
          <w:sz w:val="22"/>
          <w:szCs w:val="22"/>
        </w:rPr>
      </w:pPr>
      <w:r>
        <w:rPr>
          <w:rFonts w:asciiTheme="majorHAnsi" w:hAnsiTheme="majorHAnsi" w:cstheme="majorHAnsi"/>
          <w:sz w:val="22"/>
          <w:szCs w:val="22"/>
        </w:rPr>
        <w:t xml:space="preserve">O prazo para apresentação das razões recursais é de 3 (três) dias úteis, contados da data de intimação ou de lavratura da ata. </w:t>
      </w:r>
      <w:r>
        <w:rPr>
          <w:rFonts w:asciiTheme="majorHAnsi" w:hAnsiTheme="majorHAnsi" w:cstheme="majorHAnsi"/>
          <w:sz w:val="22"/>
          <w:szCs w:val="22"/>
          <w:lang w:eastAsia="en-US"/>
        </w:rPr>
        <w:t xml:space="preserve">A interposição do recurso será comunicada aos demais licitantes, os quais poderão apresentar contrarrazões em igual prazo, contado da interposição do recurso, sendo </w:t>
      </w:r>
      <w:r>
        <w:rPr>
          <w:rFonts w:asciiTheme="majorHAnsi" w:hAnsiTheme="majorHAnsi" w:cstheme="majorHAnsi"/>
          <w:sz w:val="22"/>
          <w:szCs w:val="22"/>
        </w:rPr>
        <w:t>assegurada a vista imediata dos elementos indispensáveis à defesa de seus interesses</w:t>
      </w:r>
    </w:p>
    <w:p w14:paraId="3FDE6185">
      <w:pPr>
        <w:pStyle w:val="58"/>
        <w:keepNext w:val="0"/>
        <w:keepLines w:val="0"/>
        <w:pageBreakBefore w:val="0"/>
        <w:widowControl/>
        <w:numPr>
          <w:ilvl w:val="1"/>
          <w:numId w:val="6"/>
        </w:numPr>
        <w:tabs>
          <w:tab w:val="left" w:pos="480"/>
        </w:tabs>
        <w:kinsoku/>
        <w:wordWrap/>
        <w:overflowPunct/>
        <w:topLinePunct w:val="0"/>
        <w:autoSpaceDE/>
        <w:autoSpaceDN/>
        <w:bidi w:val="0"/>
        <w:adjustRightInd/>
        <w:snapToGrid/>
        <w:spacing w:before="0" w:after="0"/>
        <w:ind w:left="18" w:leftChars="0" w:hanging="18" w:firstLineChars="0"/>
        <w:textAlignment w:val="auto"/>
        <w:rPr>
          <w:rFonts w:asciiTheme="majorHAnsi" w:hAnsiTheme="majorHAnsi" w:cstheme="majorHAnsi"/>
          <w:sz w:val="22"/>
          <w:szCs w:val="22"/>
        </w:rPr>
      </w:pPr>
      <w:r>
        <w:rPr>
          <w:rFonts w:asciiTheme="majorHAnsi" w:hAnsiTheme="majorHAnsi" w:cstheme="majorHAnsi"/>
          <w:sz w:val="22"/>
          <w:szCs w:val="22"/>
          <w:lang w:eastAsia="en-US"/>
        </w:rPr>
        <w:t xml:space="preserve">A </w:t>
      </w:r>
      <w:r>
        <w:rPr>
          <w:rFonts w:asciiTheme="majorHAnsi" w:hAnsiTheme="majorHAnsi" w:cstheme="majorHAnsi"/>
          <w:sz w:val="22"/>
          <w:szCs w:val="22"/>
        </w:rPr>
        <w:t xml:space="preserve">intenção de recorrer deverá ser manifestada imediatamente após a declaração de vencedor, sob pena de preclusão. </w:t>
      </w:r>
    </w:p>
    <w:p w14:paraId="6F872934">
      <w:pPr>
        <w:pStyle w:val="58"/>
        <w:keepNext w:val="0"/>
        <w:keepLines w:val="0"/>
        <w:pageBreakBefore w:val="0"/>
        <w:widowControl/>
        <w:numPr>
          <w:ilvl w:val="2"/>
          <w:numId w:val="6"/>
        </w:numPr>
        <w:tabs>
          <w:tab w:val="left" w:pos="960"/>
        </w:tabs>
        <w:kinsoku/>
        <w:wordWrap/>
        <w:overflowPunct/>
        <w:topLinePunct w:val="0"/>
        <w:autoSpaceDE/>
        <w:autoSpaceDN/>
        <w:bidi w:val="0"/>
        <w:adjustRightInd/>
        <w:snapToGrid/>
        <w:spacing w:before="0" w:after="0"/>
        <w:ind w:left="1430" w:leftChars="0" w:hanging="720" w:firstLineChars="0"/>
        <w:textAlignment w:val="auto"/>
        <w:rPr>
          <w:rFonts w:asciiTheme="majorHAnsi" w:hAnsiTheme="majorHAnsi" w:cstheme="majorHAnsi"/>
          <w:color w:val="auto"/>
          <w:sz w:val="22"/>
          <w:szCs w:val="22"/>
        </w:rPr>
      </w:pPr>
      <w:r>
        <w:rPr>
          <w:rFonts w:asciiTheme="majorHAnsi" w:hAnsiTheme="majorHAnsi" w:cstheme="majorHAnsi"/>
          <w:color w:val="auto"/>
          <w:sz w:val="22"/>
          <w:szCs w:val="22"/>
        </w:rPr>
        <w:t xml:space="preserve">O tempo mínimo para manifestação da intenção de recurso será de </w:t>
      </w:r>
      <w:r>
        <w:rPr>
          <w:rFonts w:hint="default" w:asciiTheme="majorHAnsi" w:hAnsiTheme="majorHAnsi" w:cstheme="majorHAnsi"/>
          <w:b/>
          <w:bCs/>
          <w:color w:val="auto"/>
          <w:sz w:val="22"/>
          <w:szCs w:val="22"/>
          <w:highlight w:val="cyan"/>
          <w:lang w:val="pt-BR"/>
        </w:rPr>
        <w:t>10</w:t>
      </w:r>
      <w:r>
        <w:rPr>
          <w:rFonts w:asciiTheme="majorHAnsi" w:hAnsiTheme="majorHAnsi" w:cstheme="majorHAnsi"/>
          <w:b/>
          <w:bCs/>
          <w:color w:val="auto"/>
          <w:sz w:val="22"/>
          <w:szCs w:val="22"/>
          <w:highlight w:val="cyan"/>
        </w:rPr>
        <w:t xml:space="preserve"> minutos</w:t>
      </w:r>
      <w:r>
        <w:rPr>
          <w:rFonts w:asciiTheme="majorHAnsi" w:hAnsiTheme="majorHAnsi" w:cstheme="majorHAnsi"/>
          <w:color w:val="auto"/>
          <w:sz w:val="22"/>
          <w:szCs w:val="22"/>
        </w:rPr>
        <w:t>, podendo o pregoeiro dar provimento ou negar o mesmo.</w:t>
      </w:r>
    </w:p>
    <w:p w14:paraId="698254F2">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Os recursos deverão ser encaminhados em campo próprio do sistema</w:t>
      </w:r>
      <w:r>
        <w:rPr>
          <w:rFonts w:hint="default" w:asciiTheme="majorHAnsi" w:hAnsiTheme="majorHAnsi" w:cstheme="majorHAnsi"/>
          <w:sz w:val="22"/>
          <w:szCs w:val="22"/>
          <w:lang w:val="pt-BR"/>
        </w:rPr>
        <w:t>, sob pena de não conhecimento</w:t>
      </w:r>
      <w:r>
        <w:rPr>
          <w:rFonts w:asciiTheme="majorHAnsi" w:hAnsiTheme="majorHAnsi" w:cstheme="majorHAnsi"/>
          <w:sz w:val="22"/>
          <w:szCs w:val="22"/>
        </w:rPr>
        <w:t>.</w:t>
      </w:r>
    </w:p>
    <w:p w14:paraId="40890265">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2E97AC82">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 xml:space="preserve">Os recursos interpostos fora do prazo não serão conhecidos. </w:t>
      </w:r>
    </w:p>
    <w:p w14:paraId="10417B5E">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 xml:space="preserve">O recurso e o pedido de reconsideração terão efeito suspensivo do ato ou da decisão recorrida até que sobrevenha decisão final da autoridade competente. </w:t>
      </w:r>
    </w:p>
    <w:p w14:paraId="4C201601">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hint="default" w:asciiTheme="majorHAnsi" w:hAnsiTheme="majorHAnsi" w:cstheme="majorHAnsi"/>
          <w:sz w:val="22"/>
          <w:szCs w:val="22"/>
          <w:lang w:val="pt-BR"/>
        </w:rPr>
        <w:t>Encerradas as fases de julgamento e habilitação, e exauridos os recursos administrativos, o processo será encaminhado a autoridade superior, para a prática dos atos descritos no artigo 71 e ss da Lei 14.133/21.</w:t>
      </w:r>
    </w:p>
    <w:p w14:paraId="469B19C7">
      <w:pPr>
        <w:pStyle w:val="58"/>
        <w:numPr>
          <w:ilvl w:val="1"/>
          <w:numId w:val="0"/>
        </w:numPr>
        <w:tabs>
          <w:tab w:val="left" w:pos="480"/>
        </w:tabs>
        <w:spacing w:after="0"/>
        <w:ind w:leftChars="0"/>
        <w:rPr>
          <w:rFonts w:asciiTheme="majorHAnsi" w:hAnsiTheme="majorHAnsi" w:cstheme="majorHAnsi"/>
          <w:sz w:val="22"/>
          <w:szCs w:val="22"/>
        </w:rPr>
      </w:pPr>
    </w:p>
    <w:p w14:paraId="2F7DFC7F">
      <w:pPr>
        <w:pStyle w:val="41"/>
        <w:numPr>
          <w:ilvl w:val="0"/>
          <w:numId w:val="6"/>
        </w:numPr>
        <w:tabs>
          <w:tab w:val="left" w:pos="240"/>
          <w:tab w:val="clear" w:pos="567"/>
        </w:tabs>
        <w:spacing w:before="120" w:line="276" w:lineRule="auto"/>
        <w:ind w:left="420" w:leftChars="0" w:hanging="420" w:firstLineChars="0"/>
        <w:rPr>
          <w:rFonts w:asciiTheme="majorHAnsi" w:hAnsiTheme="majorHAnsi" w:cstheme="majorHAnsi"/>
          <w:sz w:val="22"/>
          <w:szCs w:val="22"/>
        </w:rPr>
      </w:pPr>
      <w:bookmarkStart w:id="34" w:name="_Toc122606111"/>
      <w:r>
        <w:rPr>
          <w:rFonts w:asciiTheme="majorHAnsi" w:hAnsiTheme="majorHAnsi" w:cstheme="majorHAnsi"/>
          <w:sz w:val="22"/>
          <w:szCs w:val="22"/>
        </w:rPr>
        <w:t xml:space="preserve"> DAS INFRAÇÕES ADMINISTRATIVAS E SANÇÕES</w:t>
      </w:r>
      <w:bookmarkEnd w:id="34"/>
    </w:p>
    <w:p w14:paraId="33DC3BDA">
      <w:pPr>
        <w:ind w:left="0" w:leftChars="0" w:firstLine="0" w:firstLineChars="0"/>
      </w:pPr>
    </w:p>
    <w:p w14:paraId="3387E670">
      <w:pPr>
        <w:pStyle w:val="58"/>
        <w:numPr>
          <w:ilvl w:val="1"/>
          <w:numId w:val="6"/>
        </w:numPr>
        <w:tabs>
          <w:tab w:val="left" w:pos="480"/>
          <w:tab w:val="left" w:pos="1418"/>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 xml:space="preserve">Comete infração administrativa, nos termos da lei, o licitante que, com dolo ou culpa: </w:t>
      </w:r>
    </w:p>
    <w:p w14:paraId="453700B5">
      <w:pPr>
        <w:pStyle w:val="60"/>
        <w:keepNext w:val="0"/>
        <w:keepLines w:val="0"/>
        <w:pageBreakBefore w:val="0"/>
        <w:widowControl/>
        <w:numPr>
          <w:ilvl w:val="2"/>
          <w:numId w:val="6"/>
        </w:numPr>
        <w:tabs>
          <w:tab w:val="left" w:pos="1418"/>
        </w:tabs>
        <w:kinsoku/>
        <w:wordWrap/>
        <w:overflowPunct/>
        <w:topLinePunct w:val="0"/>
        <w:autoSpaceDE/>
        <w:autoSpaceDN/>
        <w:bidi w:val="0"/>
        <w:adjustRightInd/>
        <w:snapToGrid/>
        <w:spacing w:before="0" w:after="0" w:line="240" w:lineRule="auto"/>
        <w:ind w:left="1430" w:leftChars="0" w:hanging="720" w:firstLineChars="0"/>
        <w:textAlignment w:val="auto"/>
        <w:rPr>
          <w:rFonts w:asciiTheme="majorHAnsi" w:hAnsiTheme="majorHAnsi" w:cstheme="majorHAnsi"/>
          <w:sz w:val="22"/>
          <w:szCs w:val="22"/>
        </w:rPr>
      </w:pPr>
      <w:bookmarkStart w:id="35" w:name="_Ref114668085"/>
      <w:bookmarkStart w:id="36" w:name="_Hlk114652595"/>
      <w:r>
        <w:rPr>
          <w:rFonts w:asciiTheme="majorHAnsi" w:hAnsiTheme="majorHAnsi" w:cstheme="majorHAnsi"/>
          <w:sz w:val="22"/>
          <w:szCs w:val="22"/>
        </w:rPr>
        <w:t>deixar de entregar a documentação exigida para o certame ou não entregar qualquer documento que tenha sido solicitado pelo/a pregoeiro/a durante o certame;</w:t>
      </w:r>
      <w:bookmarkEnd w:id="35"/>
    </w:p>
    <w:p w14:paraId="7AADEBF4">
      <w:pPr>
        <w:pStyle w:val="60"/>
        <w:keepNext w:val="0"/>
        <w:keepLines w:val="0"/>
        <w:pageBreakBefore w:val="0"/>
        <w:widowControl/>
        <w:numPr>
          <w:ilvl w:val="2"/>
          <w:numId w:val="6"/>
        </w:numPr>
        <w:tabs>
          <w:tab w:val="left" w:pos="1418"/>
        </w:tabs>
        <w:kinsoku/>
        <w:wordWrap/>
        <w:overflowPunct/>
        <w:topLinePunct w:val="0"/>
        <w:autoSpaceDE/>
        <w:autoSpaceDN/>
        <w:bidi w:val="0"/>
        <w:adjustRightInd/>
        <w:snapToGrid/>
        <w:spacing w:before="0" w:after="0" w:line="240" w:lineRule="auto"/>
        <w:ind w:left="1430" w:leftChars="0" w:hanging="720" w:firstLineChars="0"/>
        <w:textAlignment w:val="auto"/>
        <w:rPr>
          <w:rFonts w:asciiTheme="majorHAnsi" w:hAnsiTheme="majorHAnsi" w:cstheme="majorHAnsi"/>
          <w:sz w:val="22"/>
          <w:szCs w:val="22"/>
        </w:rPr>
      </w:pPr>
      <w:bookmarkStart w:id="37" w:name="_Ref114668108"/>
      <w:r>
        <w:rPr>
          <w:rFonts w:asciiTheme="majorHAnsi" w:hAnsiTheme="majorHAnsi" w:cstheme="majorHAnsi"/>
          <w:sz w:val="22"/>
          <w:szCs w:val="22"/>
        </w:rPr>
        <w:t>Salvo em decorrência de fato superveniente devidamente justificado, não mantiver a proposta em especial quando:</w:t>
      </w:r>
      <w:bookmarkEnd w:id="37"/>
    </w:p>
    <w:p w14:paraId="60C8B14B">
      <w:pPr>
        <w:pStyle w:val="61"/>
        <w:keepNext w:val="0"/>
        <w:keepLines w:val="0"/>
        <w:pageBreakBefore w:val="0"/>
        <w:widowControl/>
        <w:numPr>
          <w:ilvl w:val="3"/>
          <w:numId w:val="6"/>
        </w:numPr>
        <w:tabs>
          <w:tab w:val="left" w:pos="1418"/>
          <w:tab w:val="left" w:pos="1920"/>
        </w:tabs>
        <w:kinsoku/>
        <w:wordWrap/>
        <w:overflowPunct/>
        <w:topLinePunct w:val="0"/>
        <w:autoSpaceDE/>
        <w:autoSpaceDN/>
        <w:bidi w:val="0"/>
        <w:adjustRightInd/>
        <w:snapToGrid/>
        <w:spacing w:before="0" w:after="0" w:line="240" w:lineRule="auto"/>
        <w:ind w:left="216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 xml:space="preserve">não enviar a proposta adequada ao último lance ofertado ou após a negociação; </w:t>
      </w:r>
    </w:p>
    <w:p w14:paraId="6EB25191">
      <w:pPr>
        <w:pStyle w:val="61"/>
        <w:keepNext w:val="0"/>
        <w:keepLines w:val="0"/>
        <w:pageBreakBefore w:val="0"/>
        <w:widowControl/>
        <w:numPr>
          <w:ilvl w:val="3"/>
          <w:numId w:val="6"/>
        </w:numPr>
        <w:tabs>
          <w:tab w:val="left" w:pos="1920"/>
        </w:tabs>
        <w:kinsoku/>
        <w:wordWrap/>
        <w:overflowPunct/>
        <w:topLinePunct w:val="0"/>
        <w:autoSpaceDE/>
        <w:autoSpaceDN/>
        <w:bidi w:val="0"/>
        <w:adjustRightInd/>
        <w:snapToGrid/>
        <w:spacing w:before="0" w:after="0" w:line="240" w:lineRule="auto"/>
        <w:ind w:left="216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 xml:space="preserve">recusar-se a enviar o detalhamento da proposta quando exigível; </w:t>
      </w:r>
    </w:p>
    <w:p w14:paraId="03CB81BA">
      <w:pPr>
        <w:pStyle w:val="61"/>
        <w:keepNext w:val="0"/>
        <w:keepLines w:val="0"/>
        <w:pageBreakBefore w:val="0"/>
        <w:widowControl/>
        <w:numPr>
          <w:ilvl w:val="3"/>
          <w:numId w:val="6"/>
        </w:numPr>
        <w:tabs>
          <w:tab w:val="left" w:pos="1920"/>
        </w:tabs>
        <w:kinsoku/>
        <w:wordWrap/>
        <w:overflowPunct/>
        <w:topLinePunct w:val="0"/>
        <w:autoSpaceDE/>
        <w:autoSpaceDN/>
        <w:bidi w:val="0"/>
        <w:adjustRightInd/>
        <w:snapToGrid/>
        <w:spacing w:before="0" w:after="0" w:line="240" w:lineRule="auto"/>
        <w:ind w:left="216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 xml:space="preserve">injustificadamente, pedir para ser desclassificado quando encerrada a etapa competitiva; ou </w:t>
      </w:r>
    </w:p>
    <w:p w14:paraId="50FB24A1">
      <w:pPr>
        <w:pStyle w:val="61"/>
        <w:keepNext w:val="0"/>
        <w:keepLines w:val="0"/>
        <w:pageBreakBefore w:val="0"/>
        <w:widowControl/>
        <w:numPr>
          <w:ilvl w:val="3"/>
          <w:numId w:val="6"/>
        </w:numPr>
        <w:tabs>
          <w:tab w:val="left" w:pos="1920"/>
        </w:tabs>
        <w:kinsoku/>
        <w:wordWrap/>
        <w:overflowPunct/>
        <w:topLinePunct w:val="0"/>
        <w:autoSpaceDE/>
        <w:autoSpaceDN/>
        <w:bidi w:val="0"/>
        <w:adjustRightInd/>
        <w:snapToGrid/>
        <w:spacing w:before="0" w:after="0" w:line="240" w:lineRule="auto"/>
        <w:ind w:left="216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deixar de apresentar amostra</w:t>
      </w:r>
      <w:r>
        <w:rPr>
          <w:rFonts w:hint="default" w:asciiTheme="majorHAnsi" w:hAnsiTheme="majorHAnsi" w:cstheme="majorHAnsi"/>
          <w:sz w:val="22"/>
          <w:szCs w:val="22"/>
          <w:lang w:val="pt-BR"/>
        </w:rPr>
        <w:t xml:space="preserve"> quando exigida</w:t>
      </w:r>
      <w:r>
        <w:rPr>
          <w:rFonts w:asciiTheme="majorHAnsi" w:hAnsiTheme="majorHAnsi" w:cstheme="majorHAnsi"/>
          <w:sz w:val="22"/>
          <w:szCs w:val="22"/>
        </w:rPr>
        <w:t>;</w:t>
      </w:r>
    </w:p>
    <w:p w14:paraId="0E5BB2A9">
      <w:pPr>
        <w:pStyle w:val="61"/>
        <w:keepNext w:val="0"/>
        <w:keepLines w:val="0"/>
        <w:pageBreakBefore w:val="0"/>
        <w:widowControl/>
        <w:numPr>
          <w:ilvl w:val="3"/>
          <w:numId w:val="6"/>
        </w:numPr>
        <w:tabs>
          <w:tab w:val="left" w:pos="1920"/>
        </w:tabs>
        <w:kinsoku/>
        <w:wordWrap/>
        <w:overflowPunct/>
        <w:topLinePunct w:val="0"/>
        <w:autoSpaceDE/>
        <w:autoSpaceDN/>
        <w:bidi w:val="0"/>
        <w:adjustRightInd/>
        <w:snapToGrid/>
        <w:spacing w:before="0" w:after="0" w:line="240" w:lineRule="auto"/>
        <w:ind w:left="216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 xml:space="preserve">apresentar proposta ou amostra em desacordo com as especificações do edital; </w:t>
      </w:r>
    </w:p>
    <w:p w14:paraId="6E2F8228">
      <w:pPr>
        <w:pStyle w:val="60"/>
        <w:keepNext w:val="0"/>
        <w:keepLines w:val="0"/>
        <w:pageBreakBefore w:val="0"/>
        <w:widowControl/>
        <w:numPr>
          <w:ilvl w:val="2"/>
          <w:numId w:val="6"/>
        </w:numPr>
        <w:tabs>
          <w:tab w:val="left" w:pos="1418"/>
        </w:tabs>
        <w:kinsoku/>
        <w:wordWrap/>
        <w:overflowPunct/>
        <w:topLinePunct w:val="0"/>
        <w:autoSpaceDE/>
        <w:autoSpaceDN/>
        <w:bidi w:val="0"/>
        <w:adjustRightInd/>
        <w:snapToGrid/>
        <w:spacing w:before="0" w:after="0" w:line="240" w:lineRule="auto"/>
        <w:ind w:left="1430" w:leftChars="0" w:hanging="720" w:firstLineChars="0"/>
        <w:textAlignment w:val="auto"/>
        <w:rPr>
          <w:rFonts w:asciiTheme="majorHAnsi" w:hAnsiTheme="majorHAnsi" w:cstheme="majorHAnsi"/>
          <w:sz w:val="22"/>
          <w:szCs w:val="22"/>
        </w:rPr>
      </w:pPr>
      <w:bookmarkStart w:id="38" w:name="_Ref114668139"/>
      <w:r>
        <w:rPr>
          <w:rFonts w:asciiTheme="majorHAnsi" w:hAnsiTheme="majorHAnsi" w:cstheme="majorHAnsi"/>
          <w:sz w:val="22"/>
          <w:szCs w:val="22"/>
        </w:rPr>
        <w:t>não celebrar o contrato ou não entregar a documentação exigida para a contratação, quando convocado dentro do prazo de validade de sua proposta;</w:t>
      </w:r>
      <w:bookmarkEnd w:id="38"/>
    </w:p>
    <w:p w14:paraId="3491F4DD">
      <w:pPr>
        <w:pStyle w:val="61"/>
        <w:keepNext w:val="0"/>
        <w:keepLines w:val="0"/>
        <w:pageBreakBefore w:val="0"/>
        <w:widowControl/>
        <w:numPr>
          <w:ilvl w:val="3"/>
          <w:numId w:val="6"/>
        </w:numPr>
        <w:tabs>
          <w:tab w:val="left" w:pos="1418"/>
          <w:tab w:val="left" w:pos="1920"/>
        </w:tabs>
        <w:kinsoku/>
        <w:wordWrap/>
        <w:overflowPunct/>
        <w:topLinePunct w:val="0"/>
        <w:autoSpaceDE/>
        <w:autoSpaceDN/>
        <w:bidi w:val="0"/>
        <w:adjustRightInd/>
        <w:snapToGrid/>
        <w:spacing w:before="0" w:after="0" w:line="240" w:lineRule="auto"/>
        <w:ind w:left="216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recusar-se, sem justificativa, a assinar o contrato ou a ata de registro de preço, ou a aceitar ou retirar o instrumento equivalente no prazo estabelecido pela Administração;</w:t>
      </w:r>
    </w:p>
    <w:p w14:paraId="2C54C1A7">
      <w:pPr>
        <w:pStyle w:val="60"/>
        <w:keepNext w:val="0"/>
        <w:keepLines w:val="0"/>
        <w:pageBreakBefore w:val="0"/>
        <w:widowControl/>
        <w:numPr>
          <w:ilvl w:val="2"/>
          <w:numId w:val="6"/>
        </w:numPr>
        <w:tabs>
          <w:tab w:val="left" w:pos="1418"/>
        </w:tabs>
        <w:kinsoku/>
        <w:wordWrap/>
        <w:overflowPunct/>
        <w:topLinePunct w:val="0"/>
        <w:autoSpaceDE/>
        <w:autoSpaceDN/>
        <w:bidi w:val="0"/>
        <w:adjustRightInd/>
        <w:snapToGrid/>
        <w:spacing w:before="0" w:after="0" w:line="240" w:lineRule="auto"/>
        <w:ind w:left="1430" w:leftChars="0" w:hanging="720" w:firstLineChars="0"/>
        <w:textAlignment w:val="auto"/>
        <w:rPr>
          <w:rFonts w:asciiTheme="majorHAnsi" w:hAnsiTheme="majorHAnsi" w:cstheme="majorHAnsi"/>
          <w:sz w:val="22"/>
          <w:szCs w:val="22"/>
        </w:rPr>
      </w:pPr>
      <w:bookmarkStart w:id="39" w:name="_Ref114668249"/>
      <w:r>
        <w:rPr>
          <w:rFonts w:asciiTheme="majorHAnsi" w:hAnsiTheme="majorHAnsi" w:cstheme="majorHAnsi"/>
          <w:sz w:val="22"/>
          <w:szCs w:val="22"/>
        </w:rPr>
        <w:t>apresentar declaração ou documentação falsa exigida para o certame ou prestar declaração falsa durante a licitação</w:t>
      </w:r>
      <w:bookmarkEnd w:id="39"/>
    </w:p>
    <w:p w14:paraId="390082AB">
      <w:pPr>
        <w:pStyle w:val="60"/>
        <w:keepNext w:val="0"/>
        <w:keepLines w:val="0"/>
        <w:pageBreakBefore w:val="0"/>
        <w:widowControl/>
        <w:numPr>
          <w:ilvl w:val="2"/>
          <w:numId w:val="6"/>
        </w:numPr>
        <w:tabs>
          <w:tab w:val="left" w:pos="1418"/>
        </w:tabs>
        <w:kinsoku/>
        <w:wordWrap/>
        <w:overflowPunct/>
        <w:topLinePunct w:val="0"/>
        <w:autoSpaceDE/>
        <w:autoSpaceDN/>
        <w:bidi w:val="0"/>
        <w:adjustRightInd/>
        <w:snapToGrid/>
        <w:spacing w:before="0" w:after="0" w:line="240" w:lineRule="auto"/>
        <w:ind w:left="1430" w:leftChars="0" w:hanging="720" w:firstLineChars="0"/>
        <w:textAlignment w:val="auto"/>
        <w:rPr>
          <w:rFonts w:asciiTheme="majorHAnsi" w:hAnsiTheme="majorHAnsi" w:cstheme="majorHAnsi"/>
          <w:sz w:val="22"/>
          <w:szCs w:val="22"/>
        </w:rPr>
      </w:pPr>
      <w:bookmarkStart w:id="40" w:name="_Ref114668245"/>
      <w:r>
        <w:rPr>
          <w:rFonts w:asciiTheme="majorHAnsi" w:hAnsiTheme="majorHAnsi" w:cstheme="majorHAnsi"/>
          <w:sz w:val="22"/>
          <w:szCs w:val="22"/>
        </w:rPr>
        <w:t>fraudar a licitação</w:t>
      </w:r>
      <w:bookmarkEnd w:id="40"/>
    </w:p>
    <w:p w14:paraId="5ED7A60D">
      <w:pPr>
        <w:pStyle w:val="60"/>
        <w:keepNext w:val="0"/>
        <w:keepLines w:val="0"/>
        <w:pageBreakBefore w:val="0"/>
        <w:widowControl/>
        <w:numPr>
          <w:ilvl w:val="2"/>
          <w:numId w:val="6"/>
        </w:numPr>
        <w:tabs>
          <w:tab w:val="left" w:pos="1418"/>
        </w:tabs>
        <w:kinsoku/>
        <w:wordWrap/>
        <w:overflowPunct/>
        <w:topLinePunct w:val="0"/>
        <w:autoSpaceDE/>
        <w:autoSpaceDN/>
        <w:bidi w:val="0"/>
        <w:adjustRightInd/>
        <w:snapToGrid/>
        <w:spacing w:before="0" w:after="0" w:line="240" w:lineRule="auto"/>
        <w:ind w:left="1430" w:leftChars="0" w:hanging="720" w:firstLineChars="0"/>
        <w:textAlignment w:val="auto"/>
        <w:rPr>
          <w:rFonts w:asciiTheme="majorHAnsi" w:hAnsiTheme="majorHAnsi" w:cstheme="majorHAnsi"/>
          <w:sz w:val="22"/>
          <w:szCs w:val="22"/>
        </w:rPr>
      </w:pPr>
      <w:bookmarkStart w:id="41" w:name="_Ref114668247"/>
      <w:r>
        <w:rPr>
          <w:rFonts w:asciiTheme="majorHAnsi" w:hAnsiTheme="majorHAnsi" w:cstheme="majorHAnsi"/>
          <w:sz w:val="22"/>
          <w:szCs w:val="22"/>
        </w:rPr>
        <w:t>comportar-se de modo inidôneo ou cometer fraude de qualquer natureza, em especial quando:</w:t>
      </w:r>
      <w:bookmarkEnd w:id="41"/>
    </w:p>
    <w:p w14:paraId="1A3682F9">
      <w:pPr>
        <w:pStyle w:val="61"/>
        <w:keepNext w:val="0"/>
        <w:keepLines w:val="0"/>
        <w:pageBreakBefore w:val="0"/>
        <w:widowControl/>
        <w:numPr>
          <w:ilvl w:val="3"/>
          <w:numId w:val="6"/>
        </w:numPr>
        <w:tabs>
          <w:tab w:val="left" w:pos="1418"/>
          <w:tab w:val="left" w:pos="1843"/>
        </w:tabs>
        <w:kinsoku/>
        <w:wordWrap/>
        <w:overflowPunct/>
        <w:topLinePunct w:val="0"/>
        <w:autoSpaceDE/>
        <w:autoSpaceDN/>
        <w:bidi w:val="0"/>
        <w:adjustRightInd/>
        <w:snapToGrid/>
        <w:spacing w:before="0" w:after="0" w:line="240" w:lineRule="auto"/>
        <w:ind w:left="216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 xml:space="preserve">agir em conluio ou em desconformidade com a lei; </w:t>
      </w:r>
    </w:p>
    <w:p w14:paraId="7094CF96">
      <w:pPr>
        <w:pStyle w:val="61"/>
        <w:keepNext w:val="0"/>
        <w:keepLines w:val="0"/>
        <w:pageBreakBefore w:val="0"/>
        <w:widowControl/>
        <w:numPr>
          <w:ilvl w:val="3"/>
          <w:numId w:val="6"/>
        </w:numPr>
        <w:tabs>
          <w:tab w:val="left" w:pos="1418"/>
          <w:tab w:val="left" w:pos="1843"/>
        </w:tabs>
        <w:kinsoku/>
        <w:wordWrap/>
        <w:overflowPunct/>
        <w:topLinePunct w:val="0"/>
        <w:autoSpaceDE/>
        <w:autoSpaceDN/>
        <w:bidi w:val="0"/>
        <w:adjustRightInd/>
        <w:snapToGrid/>
        <w:spacing w:before="0" w:after="0" w:line="240" w:lineRule="auto"/>
        <w:ind w:left="216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 xml:space="preserve">induzir deliberadamente a erro no julgamento; </w:t>
      </w:r>
    </w:p>
    <w:p w14:paraId="39DCDD58">
      <w:pPr>
        <w:pStyle w:val="61"/>
        <w:keepNext w:val="0"/>
        <w:keepLines w:val="0"/>
        <w:pageBreakBefore w:val="0"/>
        <w:widowControl/>
        <w:numPr>
          <w:ilvl w:val="3"/>
          <w:numId w:val="6"/>
        </w:numPr>
        <w:tabs>
          <w:tab w:val="left" w:pos="1418"/>
          <w:tab w:val="left" w:pos="1843"/>
        </w:tabs>
        <w:kinsoku/>
        <w:wordWrap/>
        <w:overflowPunct/>
        <w:topLinePunct w:val="0"/>
        <w:autoSpaceDE/>
        <w:autoSpaceDN/>
        <w:bidi w:val="0"/>
        <w:adjustRightInd/>
        <w:snapToGrid/>
        <w:spacing w:before="0" w:after="0" w:line="240" w:lineRule="auto"/>
        <w:ind w:left="216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 xml:space="preserve">apresentar amostra falsificada ou deteriorada; </w:t>
      </w:r>
    </w:p>
    <w:p w14:paraId="71783D28">
      <w:pPr>
        <w:pStyle w:val="60"/>
        <w:keepNext w:val="0"/>
        <w:keepLines w:val="0"/>
        <w:pageBreakBefore w:val="0"/>
        <w:widowControl/>
        <w:numPr>
          <w:ilvl w:val="2"/>
          <w:numId w:val="6"/>
        </w:numPr>
        <w:tabs>
          <w:tab w:val="left" w:pos="1418"/>
        </w:tabs>
        <w:kinsoku/>
        <w:wordWrap/>
        <w:overflowPunct/>
        <w:topLinePunct w:val="0"/>
        <w:autoSpaceDE/>
        <w:autoSpaceDN/>
        <w:bidi w:val="0"/>
        <w:adjustRightInd/>
        <w:snapToGrid/>
        <w:spacing w:before="0" w:after="0" w:line="240" w:lineRule="auto"/>
        <w:ind w:left="1430" w:leftChars="0" w:hanging="720" w:firstLineChars="0"/>
        <w:textAlignment w:val="auto"/>
        <w:rPr>
          <w:rFonts w:asciiTheme="majorHAnsi" w:hAnsiTheme="majorHAnsi" w:cstheme="majorHAnsi"/>
          <w:sz w:val="22"/>
          <w:szCs w:val="22"/>
        </w:rPr>
      </w:pPr>
      <w:bookmarkStart w:id="42" w:name="_Ref114668251"/>
      <w:r>
        <w:rPr>
          <w:rFonts w:asciiTheme="majorHAnsi" w:hAnsiTheme="majorHAnsi" w:cstheme="majorHAnsi"/>
          <w:sz w:val="22"/>
          <w:szCs w:val="22"/>
        </w:rPr>
        <w:t>praticar atos ilícitos com vistas a frustrar os objetivos da licitação</w:t>
      </w:r>
      <w:bookmarkEnd w:id="42"/>
    </w:p>
    <w:p w14:paraId="6905CB47">
      <w:pPr>
        <w:pStyle w:val="60"/>
        <w:keepNext w:val="0"/>
        <w:keepLines w:val="0"/>
        <w:pageBreakBefore w:val="0"/>
        <w:widowControl/>
        <w:numPr>
          <w:ilvl w:val="2"/>
          <w:numId w:val="6"/>
        </w:numPr>
        <w:tabs>
          <w:tab w:val="left" w:pos="1418"/>
        </w:tabs>
        <w:kinsoku/>
        <w:wordWrap/>
        <w:overflowPunct/>
        <w:topLinePunct w:val="0"/>
        <w:autoSpaceDE/>
        <w:autoSpaceDN/>
        <w:bidi w:val="0"/>
        <w:adjustRightInd/>
        <w:snapToGrid/>
        <w:spacing w:before="0" w:after="0" w:line="240" w:lineRule="auto"/>
        <w:ind w:left="1430" w:leftChars="0" w:hanging="720" w:firstLineChars="0"/>
        <w:textAlignment w:val="auto"/>
        <w:rPr>
          <w:rFonts w:asciiTheme="majorHAnsi" w:hAnsiTheme="majorHAnsi" w:cstheme="majorHAnsi"/>
          <w:sz w:val="22"/>
          <w:szCs w:val="22"/>
        </w:rPr>
      </w:pPr>
      <w:bookmarkStart w:id="43" w:name="_Ref114668252"/>
      <w:r>
        <w:rPr>
          <w:rFonts w:asciiTheme="majorHAnsi" w:hAnsiTheme="majorHAnsi" w:cstheme="majorHAnsi"/>
          <w:sz w:val="22"/>
          <w:szCs w:val="22"/>
        </w:rPr>
        <w:t xml:space="preserve">praticar ato lesivo previsto no </w:t>
      </w:r>
      <w:r>
        <w:fldChar w:fldCharType="begin"/>
      </w:r>
      <w:r>
        <w:instrText xml:space="preserve"> HYPERLINK "https://www.planalto.gov.br/ccivil_03/_ato2011-2014/2013/lei/l12846.htm" \l "art5" </w:instrText>
      </w:r>
      <w:r>
        <w:fldChar w:fldCharType="separate"/>
      </w:r>
      <w:r>
        <w:rPr>
          <w:rStyle w:val="13"/>
          <w:rFonts w:asciiTheme="majorHAnsi" w:hAnsiTheme="majorHAnsi" w:cstheme="majorHAnsi"/>
          <w:sz w:val="22"/>
          <w:szCs w:val="22"/>
        </w:rPr>
        <w:t>art. 5º da Lei n.º 12.846, de 2013</w:t>
      </w:r>
      <w:r>
        <w:rPr>
          <w:rStyle w:val="13"/>
          <w:rFonts w:asciiTheme="majorHAnsi" w:hAnsiTheme="majorHAnsi" w:cstheme="majorHAnsi"/>
          <w:sz w:val="22"/>
          <w:szCs w:val="22"/>
        </w:rPr>
        <w:fldChar w:fldCharType="end"/>
      </w:r>
      <w:r>
        <w:rPr>
          <w:rFonts w:asciiTheme="majorHAnsi" w:hAnsiTheme="majorHAnsi" w:cstheme="majorHAnsi"/>
          <w:sz w:val="22"/>
          <w:szCs w:val="22"/>
        </w:rPr>
        <w:t>.</w:t>
      </w:r>
      <w:bookmarkEnd w:id="43"/>
    </w:p>
    <w:bookmarkEnd w:id="36"/>
    <w:p w14:paraId="11DF421A">
      <w:pPr>
        <w:pStyle w:val="58"/>
        <w:keepNext w:val="0"/>
        <w:keepLines w:val="0"/>
        <w:pageBreakBefore w:val="0"/>
        <w:widowControl/>
        <w:numPr>
          <w:ilvl w:val="1"/>
          <w:numId w:val="6"/>
        </w:numPr>
        <w:tabs>
          <w:tab w:val="left" w:pos="480"/>
          <w:tab w:val="left" w:pos="1418"/>
        </w:tabs>
        <w:kinsoku/>
        <w:wordWrap/>
        <w:overflowPunct/>
        <w:topLinePunct w:val="0"/>
        <w:autoSpaceDE/>
        <w:autoSpaceDN/>
        <w:bidi w:val="0"/>
        <w:adjustRightInd/>
        <w:snapToGrid/>
        <w:spacing w:before="0" w:after="0" w:line="240" w:lineRule="auto"/>
        <w:ind w:left="1838" w:leftChars="0" w:hanging="420" w:firstLineChars="0"/>
        <w:textAlignment w:val="auto"/>
        <w:rPr>
          <w:rFonts w:asciiTheme="majorHAnsi" w:hAnsiTheme="majorHAnsi" w:cstheme="majorHAnsi"/>
          <w:sz w:val="22"/>
          <w:szCs w:val="22"/>
        </w:rPr>
      </w:pPr>
      <w:r>
        <w:rPr>
          <w:rFonts w:asciiTheme="majorHAnsi" w:hAnsiTheme="majorHAnsi" w:cstheme="majorHAnsi"/>
          <w:sz w:val="22"/>
          <w:szCs w:val="22"/>
        </w:rPr>
        <w:t xml:space="preserve">Com fulcro na </w:t>
      </w:r>
      <w:r>
        <w:fldChar w:fldCharType="begin"/>
      </w:r>
      <w:r>
        <w:instrText xml:space="preserve"> HYPERLINK "http://www.planalto.gov.br/ccivil_03/_ato2019-2022/2021/lei/L14133.htm" </w:instrText>
      </w:r>
      <w:r>
        <w:fldChar w:fldCharType="separate"/>
      </w:r>
      <w:r>
        <w:rPr>
          <w:rStyle w:val="13"/>
          <w:rFonts w:asciiTheme="majorHAnsi" w:hAnsiTheme="majorHAnsi" w:cstheme="majorHAnsi"/>
          <w:sz w:val="22"/>
          <w:szCs w:val="22"/>
        </w:rPr>
        <w:t>Lei nº 14.133, de 2021</w:t>
      </w:r>
      <w:r>
        <w:rPr>
          <w:rStyle w:val="13"/>
          <w:rFonts w:asciiTheme="majorHAnsi" w:hAnsiTheme="majorHAnsi" w:cstheme="majorHAnsi"/>
          <w:sz w:val="22"/>
          <w:szCs w:val="22"/>
        </w:rPr>
        <w:fldChar w:fldCharType="end"/>
      </w:r>
      <w:r>
        <w:rPr>
          <w:rFonts w:asciiTheme="majorHAnsi" w:hAnsiTheme="majorHAnsi" w:cstheme="majorHAnsi"/>
          <w:sz w:val="22"/>
          <w:szCs w:val="22"/>
        </w:rPr>
        <w:t xml:space="preserve">, </w:t>
      </w:r>
      <w:r>
        <w:rPr>
          <w:rFonts w:hint="default" w:asciiTheme="majorHAnsi" w:hAnsiTheme="majorHAnsi" w:cstheme="majorHAnsi"/>
          <w:sz w:val="22"/>
          <w:szCs w:val="22"/>
          <w:lang w:val="pt-BR"/>
        </w:rPr>
        <w:t xml:space="preserve">e </w:t>
      </w:r>
      <w:r>
        <w:rPr>
          <w:rFonts w:hint="default" w:asciiTheme="majorHAnsi" w:hAnsiTheme="majorHAnsi" w:cstheme="majorHAnsi"/>
          <w:sz w:val="22"/>
          <w:szCs w:val="22"/>
          <w:highlight w:val="none"/>
          <w:lang w:val="pt-BR"/>
        </w:rPr>
        <w:t xml:space="preserve">Decreto Municipal 8.058/23, </w:t>
      </w:r>
      <w:r>
        <w:rPr>
          <w:rFonts w:asciiTheme="majorHAnsi" w:hAnsiTheme="majorHAnsi" w:cstheme="majorHAnsi"/>
          <w:sz w:val="22"/>
          <w:szCs w:val="22"/>
          <w:highlight w:val="none"/>
        </w:rPr>
        <w:t>a</w:t>
      </w:r>
      <w:r>
        <w:rPr>
          <w:rFonts w:asciiTheme="majorHAnsi" w:hAnsiTheme="majorHAnsi" w:cstheme="majorHAnsi"/>
          <w:sz w:val="22"/>
          <w:szCs w:val="22"/>
        </w:rPr>
        <w:t xml:space="preserve"> Administração poderá, garantida a prévia defesa, aplicar aos licitantes e/ou adjudicatários as seguintes sanções, sem prejuízo das responsabilidades civil e criminal: </w:t>
      </w:r>
    </w:p>
    <w:p w14:paraId="5CC851D4">
      <w:pPr>
        <w:pStyle w:val="60"/>
        <w:keepNext w:val="0"/>
        <w:keepLines w:val="0"/>
        <w:pageBreakBefore w:val="0"/>
        <w:widowControl/>
        <w:numPr>
          <w:ilvl w:val="2"/>
          <w:numId w:val="6"/>
        </w:numPr>
        <w:tabs>
          <w:tab w:val="left" w:pos="1418"/>
        </w:tabs>
        <w:kinsoku/>
        <w:wordWrap/>
        <w:overflowPunct/>
        <w:topLinePunct w:val="0"/>
        <w:autoSpaceDE/>
        <w:autoSpaceDN/>
        <w:bidi w:val="0"/>
        <w:adjustRightInd/>
        <w:snapToGrid/>
        <w:spacing w:before="0" w:after="0" w:line="240" w:lineRule="auto"/>
        <w:ind w:left="143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 xml:space="preserve">advertência; </w:t>
      </w:r>
    </w:p>
    <w:p w14:paraId="2BDDB5CC">
      <w:pPr>
        <w:pStyle w:val="60"/>
        <w:keepNext w:val="0"/>
        <w:keepLines w:val="0"/>
        <w:pageBreakBefore w:val="0"/>
        <w:widowControl/>
        <w:numPr>
          <w:ilvl w:val="2"/>
          <w:numId w:val="6"/>
        </w:numPr>
        <w:tabs>
          <w:tab w:val="left" w:pos="1418"/>
        </w:tabs>
        <w:kinsoku/>
        <w:wordWrap/>
        <w:overflowPunct/>
        <w:topLinePunct w:val="0"/>
        <w:autoSpaceDE/>
        <w:autoSpaceDN/>
        <w:bidi w:val="0"/>
        <w:adjustRightInd/>
        <w:snapToGrid/>
        <w:spacing w:before="0" w:after="0" w:line="240" w:lineRule="auto"/>
        <w:ind w:left="143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Multa</w:t>
      </w:r>
      <w:r>
        <w:rPr>
          <w:rFonts w:hint="default" w:asciiTheme="majorHAnsi" w:hAnsiTheme="majorHAnsi" w:cstheme="majorHAnsi"/>
          <w:sz w:val="22"/>
          <w:szCs w:val="22"/>
          <w:lang w:val="pt-BR"/>
        </w:rPr>
        <w:t xml:space="preserve"> compensatória e de mora</w:t>
      </w:r>
      <w:r>
        <w:rPr>
          <w:rFonts w:asciiTheme="majorHAnsi" w:hAnsiTheme="majorHAnsi" w:cstheme="majorHAnsi"/>
          <w:sz w:val="22"/>
          <w:szCs w:val="22"/>
        </w:rPr>
        <w:t>;</w:t>
      </w:r>
    </w:p>
    <w:p w14:paraId="6904F8BF">
      <w:pPr>
        <w:pStyle w:val="60"/>
        <w:keepNext w:val="0"/>
        <w:keepLines w:val="0"/>
        <w:pageBreakBefore w:val="0"/>
        <w:widowControl/>
        <w:numPr>
          <w:ilvl w:val="2"/>
          <w:numId w:val="6"/>
        </w:numPr>
        <w:tabs>
          <w:tab w:val="left" w:pos="1418"/>
        </w:tabs>
        <w:kinsoku/>
        <w:wordWrap/>
        <w:overflowPunct/>
        <w:topLinePunct w:val="0"/>
        <w:autoSpaceDE/>
        <w:autoSpaceDN/>
        <w:bidi w:val="0"/>
        <w:adjustRightInd/>
        <w:snapToGrid/>
        <w:spacing w:before="0" w:after="0" w:line="240" w:lineRule="auto"/>
        <w:ind w:left="143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 xml:space="preserve">impedimento de licitar e contratar </w:t>
      </w:r>
      <w:r>
        <w:rPr>
          <w:rFonts w:hint="default" w:asciiTheme="majorHAnsi" w:hAnsiTheme="majorHAnsi" w:cstheme="majorHAnsi"/>
          <w:sz w:val="22"/>
          <w:szCs w:val="22"/>
          <w:lang w:val="pt-BR"/>
        </w:rPr>
        <w:t>com a Prefeitura de Leme;</w:t>
      </w:r>
    </w:p>
    <w:p w14:paraId="0CFB07E7">
      <w:pPr>
        <w:pStyle w:val="60"/>
        <w:keepNext w:val="0"/>
        <w:keepLines w:val="0"/>
        <w:pageBreakBefore w:val="0"/>
        <w:widowControl/>
        <w:numPr>
          <w:ilvl w:val="2"/>
          <w:numId w:val="6"/>
        </w:numPr>
        <w:tabs>
          <w:tab w:val="left" w:pos="1418"/>
        </w:tabs>
        <w:kinsoku/>
        <w:wordWrap/>
        <w:overflowPunct/>
        <w:topLinePunct w:val="0"/>
        <w:autoSpaceDE/>
        <w:autoSpaceDN/>
        <w:bidi w:val="0"/>
        <w:adjustRightInd/>
        <w:snapToGrid/>
        <w:spacing w:before="0" w:after="361" w:afterLines="100" w:line="240" w:lineRule="auto"/>
        <w:ind w:left="1430" w:leftChars="0" w:hanging="720" w:firstLineChars="0"/>
        <w:textAlignment w:val="auto"/>
        <w:rPr>
          <w:rFonts w:asciiTheme="majorHAnsi" w:hAnsiTheme="majorHAnsi" w:cstheme="majorHAnsi"/>
          <w:sz w:val="22"/>
          <w:szCs w:val="22"/>
        </w:rPr>
      </w:pPr>
      <w:r>
        <w:rPr>
          <w:rFonts w:asciiTheme="majorHAnsi" w:hAnsiTheme="majorHAnsi" w:cstheme="majorHAnsi"/>
          <w:sz w:val="22"/>
          <w:szCs w:val="22"/>
        </w:rPr>
        <w:t>declaração de inidoneidade para licitar ou contratar, enquanto perdurarem os motivos determinantes da punição ou até que seja promovida sua reabilitação perante a própria autoridade que aplicou a penalidade.</w:t>
      </w:r>
    </w:p>
    <w:p w14:paraId="432DC46A">
      <w:pPr>
        <w:pStyle w:val="58"/>
        <w:keepNext w:val="0"/>
        <w:keepLines w:val="0"/>
        <w:pageBreakBefore w:val="0"/>
        <w:widowControl/>
        <w:numPr>
          <w:ilvl w:val="1"/>
          <w:numId w:val="6"/>
        </w:numPr>
        <w:tabs>
          <w:tab w:val="left" w:pos="480"/>
          <w:tab w:val="left" w:pos="1134"/>
          <w:tab w:val="left" w:pos="1418"/>
        </w:tabs>
        <w:kinsoku/>
        <w:wordWrap/>
        <w:overflowPunct/>
        <w:topLinePunct w:val="0"/>
        <w:autoSpaceDE/>
        <w:autoSpaceDN/>
        <w:bidi w:val="0"/>
        <w:adjustRightInd/>
        <w:snapToGrid/>
        <w:spacing w:after="361" w:afterLines="100"/>
        <w:ind w:left="18" w:leftChars="0" w:hanging="18" w:firstLineChars="0"/>
        <w:textAlignment w:val="auto"/>
        <w:rPr>
          <w:rFonts w:asciiTheme="majorHAnsi" w:hAnsiTheme="majorHAnsi" w:cstheme="majorHAnsi"/>
          <w:sz w:val="22"/>
          <w:szCs w:val="22"/>
        </w:rPr>
      </w:pPr>
      <w:r>
        <w:rPr>
          <w:rFonts w:asciiTheme="majorHAnsi" w:hAnsiTheme="majorHAnsi" w:cstheme="majorHAnsi"/>
          <w:sz w:val="22"/>
          <w:szCs w:val="22"/>
        </w:rPr>
        <w:t>Na aplicação das sanções serão considerados os elementos previstos no art. 156, § 1º, da Lei 14.133/2021</w:t>
      </w:r>
      <w:r>
        <w:rPr>
          <w:rFonts w:hint="default" w:asciiTheme="majorHAnsi" w:hAnsiTheme="majorHAnsi" w:cstheme="majorHAnsi"/>
          <w:sz w:val="22"/>
          <w:szCs w:val="22"/>
          <w:lang w:val="pt-BR"/>
        </w:rPr>
        <w:t xml:space="preserve"> e Decreto Municipal nº 8.058/23</w:t>
      </w:r>
      <w:r>
        <w:rPr>
          <w:rFonts w:asciiTheme="majorHAnsi" w:hAnsiTheme="majorHAnsi" w:cstheme="majorHAnsi"/>
          <w:sz w:val="22"/>
          <w:szCs w:val="22"/>
        </w:rPr>
        <w:t>.</w:t>
      </w:r>
    </w:p>
    <w:p w14:paraId="2EB7851C">
      <w:pPr>
        <w:pStyle w:val="58"/>
        <w:keepNext w:val="0"/>
        <w:keepLines w:val="0"/>
        <w:pageBreakBefore w:val="0"/>
        <w:widowControl/>
        <w:numPr>
          <w:ilvl w:val="1"/>
          <w:numId w:val="6"/>
        </w:numPr>
        <w:tabs>
          <w:tab w:val="left" w:pos="480"/>
        </w:tabs>
        <w:kinsoku/>
        <w:wordWrap/>
        <w:overflowPunct/>
        <w:topLinePunct w:val="0"/>
        <w:autoSpaceDE/>
        <w:autoSpaceDN/>
        <w:bidi w:val="0"/>
        <w:adjustRightInd/>
        <w:snapToGrid/>
        <w:spacing w:after="361" w:afterLines="100"/>
        <w:ind w:left="18" w:leftChars="0" w:hanging="18" w:firstLineChars="0"/>
        <w:textAlignment w:val="auto"/>
        <w:rPr>
          <w:rFonts w:asciiTheme="majorHAnsi" w:hAnsiTheme="majorHAnsi" w:cstheme="majorHAnsi"/>
          <w:sz w:val="22"/>
          <w:szCs w:val="22"/>
        </w:rPr>
      </w:pPr>
      <w:r>
        <w:rPr>
          <w:rFonts w:asciiTheme="majorHAnsi" w:hAnsiTheme="majorHAnsi" w:cstheme="majorHAnsi"/>
          <w:sz w:val="22"/>
          <w:szCs w:val="22"/>
        </w:rPr>
        <w:t xml:space="preserve">As sanções de advertência, impedimento de licitar e contratar e declaração de inidoneidade, bem como a sanção de multa </w:t>
      </w:r>
      <w:r>
        <w:rPr>
          <w:rFonts w:hint="default" w:asciiTheme="majorHAnsi" w:hAnsiTheme="majorHAnsi" w:cstheme="majorHAnsi"/>
          <w:sz w:val="22"/>
          <w:szCs w:val="22"/>
          <w:lang w:val="pt-BR"/>
        </w:rPr>
        <w:t xml:space="preserve">compensatória </w:t>
      </w:r>
      <w:r>
        <w:rPr>
          <w:rFonts w:asciiTheme="majorHAnsi" w:hAnsiTheme="majorHAnsi" w:cstheme="majorHAnsi"/>
          <w:sz w:val="22"/>
          <w:szCs w:val="22"/>
        </w:rPr>
        <w:t>aplicada em percentual de 0,5% a 30% incidente sobre o valor da proposta, respeitarão o devido processo legal, obedecerão ao prazo de defesa previsto nos arts. 156 e seguintes, da Lei 14.133/2021</w:t>
      </w:r>
      <w:r>
        <w:rPr>
          <w:rFonts w:hint="default" w:asciiTheme="majorHAnsi" w:hAnsiTheme="majorHAnsi" w:cstheme="majorHAnsi"/>
          <w:sz w:val="22"/>
          <w:szCs w:val="22"/>
          <w:lang w:val="pt-BR"/>
        </w:rPr>
        <w:t xml:space="preserve"> e Decreto Municipal nº 8.058/23</w:t>
      </w:r>
      <w:r>
        <w:rPr>
          <w:rFonts w:asciiTheme="majorHAnsi" w:hAnsiTheme="majorHAnsi" w:cstheme="majorHAnsi"/>
          <w:sz w:val="22"/>
          <w:szCs w:val="22"/>
        </w:rPr>
        <w:t>.</w:t>
      </w:r>
    </w:p>
    <w:p w14:paraId="4C98AE35">
      <w:pPr>
        <w:pStyle w:val="58"/>
        <w:keepNext w:val="0"/>
        <w:keepLines w:val="0"/>
        <w:pageBreakBefore w:val="0"/>
        <w:widowControl/>
        <w:numPr>
          <w:ilvl w:val="1"/>
          <w:numId w:val="6"/>
        </w:numPr>
        <w:tabs>
          <w:tab w:val="left" w:pos="480"/>
        </w:tabs>
        <w:kinsoku/>
        <w:wordWrap/>
        <w:overflowPunct/>
        <w:topLinePunct w:val="0"/>
        <w:autoSpaceDE/>
        <w:autoSpaceDN/>
        <w:bidi w:val="0"/>
        <w:adjustRightInd/>
        <w:snapToGrid/>
        <w:spacing w:after="361" w:afterLines="100"/>
        <w:ind w:left="18" w:leftChars="0" w:hanging="18" w:firstLineChars="0"/>
        <w:textAlignment w:val="auto"/>
        <w:rPr>
          <w:rFonts w:asciiTheme="majorHAnsi" w:hAnsiTheme="majorHAnsi" w:cstheme="majorHAnsi"/>
          <w:sz w:val="22"/>
          <w:szCs w:val="22"/>
        </w:rPr>
      </w:pPr>
      <w:r>
        <w:rPr>
          <w:rFonts w:hint="default" w:asciiTheme="majorHAnsi" w:hAnsiTheme="majorHAnsi" w:cstheme="majorHAnsi"/>
          <w:sz w:val="22"/>
          <w:szCs w:val="22"/>
          <w:lang w:val="pt-BR"/>
        </w:rPr>
        <w:t xml:space="preserve">A multa de mora será aplicada em percentual de 0,33% (trinta e três décimos porcento) ao dia, sobre o valor da obrigação não cumprida dentro do prazo previsto para a execução do objeto previsto no edital e seus anexos, limitados a 05 (cinco) dias, após o que, será considerada inexecução contratual, sujeitando o contratado as demais sanções previstas no Decreto Municipal nº 8.058/23.  </w:t>
      </w:r>
    </w:p>
    <w:p w14:paraId="705CC340">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A recusa injustificada do adjudicatário em assinar o contrato ou a ata de registro de preço, ou em aceitar ou retirar o instrumento equivalente no prazo estabelecido pela Administração, caracterizará o descumprimento total da obrigação assumida.</w:t>
      </w:r>
    </w:p>
    <w:p w14:paraId="581118A3">
      <w:pPr>
        <w:pStyle w:val="58"/>
        <w:numPr>
          <w:ilvl w:val="1"/>
          <w:numId w:val="0"/>
        </w:numPr>
        <w:tabs>
          <w:tab w:val="left" w:pos="480"/>
        </w:tabs>
        <w:spacing w:after="0"/>
        <w:ind w:leftChars="0"/>
        <w:rPr>
          <w:rFonts w:asciiTheme="majorHAnsi" w:hAnsiTheme="majorHAnsi" w:cstheme="majorHAnsi"/>
          <w:sz w:val="22"/>
          <w:szCs w:val="22"/>
        </w:rPr>
      </w:pPr>
    </w:p>
    <w:p w14:paraId="7BC7500E">
      <w:pPr>
        <w:pStyle w:val="41"/>
        <w:numPr>
          <w:ilvl w:val="0"/>
          <w:numId w:val="6"/>
        </w:numPr>
        <w:tabs>
          <w:tab w:val="left" w:pos="480"/>
        </w:tabs>
        <w:spacing w:before="120" w:line="276" w:lineRule="auto"/>
        <w:ind w:left="420" w:leftChars="0" w:hanging="420" w:firstLineChars="0"/>
        <w:rPr>
          <w:rFonts w:asciiTheme="majorHAnsi" w:hAnsiTheme="majorHAnsi" w:cstheme="majorHAnsi"/>
          <w:sz w:val="22"/>
          <w:szCs w:val="22"/>
        </w:rPr>
      </w:pPr>
      <w:bookmarkStart w:id="44" w:name="_Toc122606112"/>
      <w:r>
        <w:rPr>
          <w:rFonts w:asciiTheme="majorHAnsi" w:hAnsiTheme="majorHAnsi" w:cstheme="majorHAnsi"/>
          <w:sz w:val="22"/>
          <w:szCs w:val="22"/>
        </w:rPr>
        <w:t xml:space="preserve"> DA IMPUGNAÇÃO AO EDITAL E DO PEDIDO DE ESCLARECIMENTO</w:t>
      </w:r>
      <w:bookmarkEnd w:id="44"/>
    </w:p>
    <w:p w14:paraId="59AC3B6C">
      <w:pPr>
        <w:tabs>
          <w:tab w:val="left" w:pos="480"/>
        </w:tabs>
        <w:ind w:left="0" w:leftChars="0" w:firstLine="0" w:firstLineChars="0"/>
      </w:pPr>
    </w:p>
    <w:p w14:paraId="5ED304A3">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Qualquer pessoa é parte legítima para impugnar o Edital ou solicitar esclarecimentos, devendo protocolar o pedido no prazo de até 3 (cinco) dias úteis antes da data da abertura do certame.</w:t>
      </w:r>
    </w:p>
    <w:p w14:paraId="09E47470">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A resposta à impugnação ou ao pedido de esclarecimento será divulgado em sítio eletrônico oficial no prazo de até 3 (três) dias úteis, limitado ao último dia útil anterior à data da abertura do certame.</w:t>
      </w:r>
    </w:p>
    <w:p w14:paraId="26BB7258">
      <w:pPr>
        <w:pStyle w:val="58"/>
        <w:numPr>
          <w:ilvl w:val="1"/>
          <w:numId w:val="6"/>
        </w:numPr>
        <w:tabs>
          <w:tab w:val="left" w:pos="480"/>
        </w:tabs>
        <w:spacing w:after="0"/>
        <w:ind w:left="18" w:leftChars="0" w:hanging="18" w:firstLineChars="0"/>
        <w:rPr>
          <w:rFonts w:asciiTheme="majorHAnsi" w:hAnsiTheme="majorHAnsi" w:cstheme="majorHAnsi"/>
          <w:sz w:val="22"/>
          <w:szCs w:val="22"/>
        </w:rPr>
      </w:pPr>
      <w:r>
        <w:rPr>
          <w:rFonts w:asciiTheme="majorHAnsi" w:hAnsiTheme="majorHAnsi" w:cstheme="majorHAnsi"/>
          <w:sz w:val="22"/>
          <w:szCs w:val="22"/>
        </w:rPr>
        <w:t xml:space="preserve">A impugnação ao edital e o pedido de esclarecimento </w:t>
      </w:r>
      <w:r>
        <w:rPr>
          <w:rFonts w:hint="default" w:asciiTheme="majorHAnsi" w:hAnsiTheme="majorHAnsi" w:cstheme="majorHAnsi"/>
          <w:sz w:val="22"/>
          <w:szCs w:val="22"/>
          <w:lang w:val="pt-BR"/>
        </w:rPr>
        <w:t>deverão</w:t>
      </w:r>
      <w:r>
        <w:rPr>
          <w:rFonts w:asciiTheme="majorHAnsi" w:hAnsiTheme="majorHAnsi" w:cstheme="majorHAnsi"/>
          <w:sz w:val="22"/>
          <w:szCs w:val="22"/>
        </w:rPr>
        <w:t xml:space="preserve"> ser realizados na forma eletrônica, via Sistema BBMNET</w:t>
      </w:r>
      <w:r>
        <w:rPr>
          <w:rFonts w:hint="default" w:asciiTheme="majorHAnsi" w:hAnsiTheme="majorHAnsi" w:cstheme="majorHAnsi"/>
          <w:sz w:val="22"/>
          <w:szCs w:val="22"/>
          <w:lang w:val="pt-BR"/>
        </w:rPr>
        <w:t>, sob pena de não conhecimento</w:t>
      </w:r>
      <w:r>
        <w:rPr>
          <w:rFonts w:asciiTheme="majorHAnsi" w:hAnsiTheme="majorHAnsi" w:cstheme="majorHAnsi"/>
          <w:sz w:val="22"/>
          <w:szCs w:val="22"/>
        </w:rPr>
        <w:t>.</w:t>
      </w:r>
    </w:p>
    <w:p w14:paraId="2196B4DD">
      <w:pPr>
        <w:pStyle w:val="58"/>
        <w:numPr>
          <w:ilvl w:val="1"/>
          <w:numId w:val="6"/>
        </w:numPr>
        <w:tabs>
          <w:tab w:val="left" w:pos="480"/>
        </w:tabs>
        <w:spacing w:after="0"/>
        <w:ind w:left="18" w:leftChars="0" w:hanging="18" w:firstLineChars="0"/>
        <w:rPr>
          <w:rFonts w:ascii="Calibri" w:hAnsi="Calibri" w:cs="Arial"/>
          <w:b/>
          <w:bCs/>
          <w:sz w:val="22"/>
          <w:szCs w:val="22"/>
        </w:rPr>
      </w:pPr>
      <w:r>
        <w:rPr>
          <w:rFonts w:asciiTheme="majorHAnsi" w:hAnsiTheme="majorHAnsi" w:cstheme="majorHAnsi"/>
          <w:sz w:val="22"/>
          <w:szCs w:val="22"/>
        </w:rPr>
        <w:t>Acolhida a impugnação, será definida e publicada nova data para a realização do certame.</w:t>
      </w:r>
    </w:p>
    <w:p w14:paraId="374A86CC">
      <w:pPr>
        <w:pStyle w:val="58"/>
        <w:keepNext w:val="0"/>
        <w:keepLines w:val="0"/>
        <w:pageBreakBefore w:val="0"/>
        <w:widowControl/>
        <w:numPr>
          <w:ilvl w:val="1"/>
          <w:numId w:val="0"/>
        </w:numPr>
        <w:tabs>
          <w:tab w:val="left" w:pos="480"/>
        </w:tabs>
        <w:kinsoku/>
        <w:wordWrap/>
        <w:overflowPunct/>
        <w:topLinePunct w:val="0"/>
        <w:autoSpaceDE/>
        <w:autoSpaceDN/>
        <w:bidi w:val="0"/>
        <w:adjustRightInd/>
        <w:snapToGrid/>
        <w:spacing w:before="0" w:after="0" w:line="240" w:lineRule="auto"/>
        <w:ind w:leftChars="0"/>
        <w:textAlignment w:val="auto"/>
        <w:rPr>
          <w:rFonts w:ascii="Calibri" w:hAnsi="Calibri" w:cs="Arial"/>
          <w:b/>
          <w:bCs/>
          <w:sz w:val="22"/>
          <w:szCs w:val="22"/>
        </w:rPr>
      </w:pPr>
    </w:p>
    <w:p w14:paraId="5B5ADFBA">
      <w:pPr>
        <w:pStyle w:val="58"/>
        <w:numPr>
          <w:ilvl w:val="1"/>
          <w:numId w:val="0"/>
        </w:numPr>
        <w:tabs>
          <w:tab w:val="left" w:pos="480"/>
        </w:tabs>
        <w:spacing w:after="0" w:line="240" w:lineRule="auto"/>
        <w:ind w:left="0" w:leftChars="0" w:hanging="6" w:firstLineChars="0"/>
        <w:rPr>
          <w:rFonts w:ascii="Calibri" w:hAnsi="Calibri" w:cs="Arial"/>
          <w:b/>
          <w:bCs/>
          <w:sz w:val="22"/>
          <w:szCs w:val="22"/>
        </w:rPr>
      </w:pPr>
      <w:r>
        <w:rPr>
          <w:rFonts w:hint="default" w:asciiTheme="majorHAnsi" w:hAnsiTheme="majorHAnsi" w:cstheme="majorHAnsi"/>
          <w:b/>
          <w:bCs/>
          <w:sz w:val="22"/>
          <w:szCs w:val="22"/>
          <w:lang w:val="pt-BR"/>
        </w:rPr>
        <w:t>10</w:t>
      </w:r>
      <w:r>
        <w:rPr>
          <w:rFonts w:ascii="Calibri" w:hAnsi="Calibri" w:cs="Arial"/>
          <w:b/>
          <w:bCs/>
          <w:sz w:val="22"/>
          <w:szCs w:val="22"/>
        </w:rPr>
        <w:t xml:space="preserve"> - DA FORMALIZAÇÃO DA ATA DE REGISTRO DE PREÇO</w:t>
      </w:r>
    </w:p>
    <w:p w14:paraId="64D9B937">
      <w:pPr>
        <w:pStyle w:val="58"/>
        <w:keepNext w:val="0"/>
        <w:keepLines w:val="0"/>
        <w:pageBreakBefore w:val="0"/>
        <w:widowControl/>
        <w:numPr>
          <w:ilvl w:val="1"/>
          <w:numId w:val="0"/>
        </w:numPr>
        <w:tabs>
          <w:tab w:val="left" w:pos="480"/>
        </w:tabs>
        <w:kinsoku/>
        <w:wordWrap/>
        <w:overflowPunct/>
        <w:topLinePunct w:val="0"/>
        <w:autoSpaceDE/>
        <w:autoSpaceDN/>
        <w:bidi w:val="0"/>
        <w:adjustRightInd/>
        <w:snapToGrid/>
        <w:spacing w:before="0" w:after="0" w:line="240" w:lineRule="auto"/>
        <w:ind w:left="0" w:leftChars="0" w:hanging="6" w:firstLineChars="0"/>
        <w:textAlignment w:val="auto"/>
        <w:rPr>
          <w:rFonts w:ascii="Calibri" w:hAnsi="Calibri" w:cs="Arial"/>
          <w:b/>
          <w:bCs/>
          <w:sz w:val="22"/>
          <w:szCs w:val="22"/>
        </w:rPr>
      </w:pPr>
    </w:p>
    <w:p w14:paraId="7BA5449F">
      <w:pPr>
        <w:pStyle w:val="58"/>
        <w:numPr>
          <w:ilvl w:val="1"/>
          <w:numId w:val="0"/>
        </w:numPr>
        <w:tabs>
          <w:tab w:val="left" w:pos="480"/>
        </w:tabs>
        <w:spacing w:after="0" w:line="240" w:lineRule="auto"/>
        <w:ind w:left="0" w:leftChars="0" w:hanging="6" w:firstLineChars="0"/>
        <w:rPr>
          <w:rFonts w:ascii="Calibri" w:hAnsi="Calibri" w:cs="Arial"/>
          <w:sz w:val="22"/>
          <w:szCs w:val="22"/>
        </w:rPr>
      </w:pPr>
      <w:r>
        <w:rPr>
          <w:rFonts w:hint="default" w:ascii="Calibri" w:hAnsi="Calibri" w:cs="Arial"/>
          <w:sz w:val="22"/>
          <w:szCs w:val="22"/>
          <w:lang w:val="pt-BR"/>
        </w:rPr>
        <w:t xml:space="preserve">10.1 </w:t>
      </w:r>
      <w:r>
        <w:rPr>
          <w:rFonts w:ascii="Calibri" w:hAnsi="Calibri" w:cs="Arial"/>
          <w:sz w:val="22"/>
          <w:szCs w:val="22"/>
        </w:rPr>
        <w:t>Homologada a licitação será formalizada a Ata de Registro de Preços com o(s) vencedor(es) do certame para cada Lote</w:t>
      </w:r>
      <w:r>
        <w:rPr>
          <w:rFonts w:hint="default" w:ascii="Calibri" w:hAnsi="Calibri" w:cs="Arial"/>
          <w:sz w:val="22"/>
          <w:szCs w:val="22"/>
          <w:lang w:val="pt-BR"/>
        </w:rPr>
        <w:t>, cuja minuta se segue</w:t>
      </w:r>
      <w:r>
        <w:rPr>
          <w:rFonts w:ascii="Calibri" w:hAnsi="Calibri" w:cs="Arial"/>
          <w:sz w:val="22"/>
          <w:szCs w:val="22"/>
        </w:rPr>
        <w:t>. Os preços a serem registrados são os unitários, obtidos após o término da disputa dos lances pelo total previsto no lote. Os preços unitários serão os remetidos pela licitante vencedora na sua proposta escrita, obtidos mediante aplicação do mesmo percentual de desconto sobre o preço global vencedor, a cada item que compõe o lote, de forma linear.</w:t>
      </w:r>
    </w:p>
    <w:p w14:paraId="4F56BF8E">
      <w:pPr>
        <w:pStyle w:val="58"/>
        <w:numPr>
          <w:ilvl w:val="1"/>
          <w:numId w:val="0"/>
        </w:numPr>
        <w:spacing w:after="0"/>
        <w:ind w:left="7" w:leftChars="0" w:hanging="7" w:firstLineChars="0"/>
        <w:rPr>
          <w:rFonts w:ascii="Calibri" w:hAnsi="Calibri" w:cs="Arial"/>
          <w:snapToGrid w:val="0"/>
          <w:sz w:val="22"/>
          <w:szCs w:val="22"/>
        </w:rPr>
      </w:pPr>
      <w:r>
        <w:rPr>
          <w:rFonts w:hint="default" w:ascii="Calibri" w:hAnsi="Calibri" w:cs="Arial"/>
          <w:sz w:val="22"/>
          <w:szCs w:val="22"/>
          <w:lang w:val="pt-BR"/>
        </w:rPr>
        <w:t xml:space="preserve">10.02 </w:t>
      </w:r>
      <w:r>
        <w:rPr>
          <w:rFonts w:ascii="Calibri" w:hAnsi="Calibri" w:cs="Arial"/>
          <w:snapToGrid w:val="0"/>
          <w:sz w:val="22"/>
          <w:szCs w:val="22"/>
        </w:rPr>
        <w:t xml:space="preserve">O </w:t>
      </w:r>
      <w:r>
        <w:rPr>
          <w:rFonts w:hint="default" w:ascii="Calibri" w:hAnsi="Calibri" w:cs="Arial"/>
          <w:snapToGrid w:val="0"/>
          <w:sz w:val="22"/>
          <w:szCs w:val="22"/>
          <w:lang w:val="pt-BR"/>
        </w:rPr>
        <w:t xml:space="preserve">Termo de Referência trata das condições </w:t>
      </w:r>
      <w:r>
        <w:rPr>
          <w:rFonts w:ascii="Calibri" w:hAnsi="Calibri" w:cs="Arial"/>
          <w:snapToGrid w:val="0"/>
          <w:sz w:val="22"/>
          <w:szCs w:val="22"/>
        </w:rPr>
        <w:t xml:space="preserve">e </w:t>
      </w:r>
      <w:r>
        <w:rPr>
          <w:rFonts w:hint="default" w:ascii="Calibri" w:hAnsi="Calibri" w:cs="Arial"/>
          <w:snapToGrid w:val="0"/>
          <w:sz w:val="22"/>
          <w:szCs w:val="22"/>
          <w:lang w:val="pt-BR"/>
        </w:rPr>
        <w:t xml:space="preserve">demais características relativas a Adesão a Ata e Formação de Cadastro Reserva da </w:t>
      </w:r>
      <w:r>
        <w:rPr>
          <w:rFonts w:ascii="Calibri" w:hAnsi="Calibri" w:cs="Arial"/>
          <w:snapToGrid w:val="0"/>
          <w:sz w:val="22"/>
          <w:szCs w:val="22"/>
        </w:rPr>
        <w:t>Ata de Registro de Preços.</w:t>
      </w:r>
    </w:p>
    <w:p w14:paraId="4C94A8FA">
      <w:pPr>
        <w:pStyle w:val="58"/>
        <w:numPr>
          <w:ilvl w:val="1"/>
          <w:numId w:val="0"/>
        </w:numPr>
        <w:spacing w:after="0"/>
        <w:ind w:left="7" w:leftChars="0" w:hanging="7" w:firstLineChars="0"/>
        <w:rPr>
          <w:rFonts w:hint="default" w:ascii="Calibri" w:hAnsi="Calibri" w:cs="Arial"/>
          <w:snapToGrid w:val="0"/>
          <w:sz w:val="22"/>
          <w:szCs w:val="22"/>
          <w:highlight w:val="magenta"/>
          <w:lang w:val="pt-BR"/>
        </w:rPr>
      </w:pPr>
      <w:r>
        <w:rPr>
          <w:rFonts w:hint="default" w:ascii="Calibri" w:hAnsi="Calibri" w:cs="Arial"/>
          <w:snapToGrid w:val="0"/>
          <w:sz w:val="22"/>
          <w:szCs w:val="22"/>
          <w:highlight w:val="cyan"/>
          <w:u w:val="single"/>
          <w:lang w:val="pt-BR"/>
        </w:rPr>
        <w:t>10.03 - Para fins de formação de cadastro reserva, serão admitidas licitantes classificados até o 3º (terceiro) lugar em cada lote</w:t>
      </w:r>
      <w:r>
        <w:rPr>
          <w:rFonts w:hint="default" w:ascii="Calibri" w:hAnsi="Calibri" w:cs="Arial"/>
          <w:snapToGrid w:val="0"/>
          <w:sz w:val="22"/>
          <w:szCs w:val="22"/>
          <w:highlight w:val="magenta"/>
          <w:lang w:val="pt-BR"/>
        </w:rPr>
        <w:t>.</w:t>
      </w:r>
    </w:p>
    <w:p w14:paraId="00065D77">
      <w:pPr>
        <w:pStyle w:val="58"/>
        <w:numPr>
          <w:ilvl w:val="1"/>
          <w:numId w:val="0"/>
        </w:numPr>
        <w:spacing w:after="0"/>
        <w:ind w:left="7" w:leftChars="0" w:hanging="7" w:firstLineChars="0"/>
        <w:rPr>
          <w:rFonts w:hint="default" w:ascii="Calibri" w:hAnsi="Calibri" w:cs="Arial"/>
          <w:snapToGrid w:val="0"/>
          <w:sz w:val="22"/>
          <w:szCs w:val="22"/>
          <w:highlight w:val="green"/>
          <w:lang w:val="pt-BR"/>
        </w:rPr>
      </w:pPr>
    </w:p>
    <w:p w14:paraId="36D8AC26">
      <w:pPr>
        <w:pStyle w:val="58"/>
        <w:keepNext w:val="0"/>
        <w:keepLines w:val="0"/>
        <w:pageBreakBefore w:val="0"/>
        <w:widowControl/>
        <w:numPr>
          <w:ilvl w:val="1"/>
          <w:numId w:val="0"/>
        </w:numPr>
        <w:shd w:val="clear" w:fill="F2B1BC"/>
        <w:kinsoku/>
        <w:wordWrap/>
        <w:overflowPunct/>
        <w:topLinePunct w:val="0"/>
        <w:autoSpaceDE/>
        <w:autoSpaceDN/>
        <w:bidi w:val="0"/>
        <w:adjustRightInd/>
        <w:snapToGrid/>
        <w:spacing w:before="0" w:after="0"/>
        <w:ind w:left="6" w:leftChars="0" w:firstLine="709" w:firstLineChars="0"/>
        <w:textAlignment w:val="auto"/>
        <w:rPr>
          <w:rFonts w:hint="default" w:ascii="Calibri" w:hAnsi="Calibri"/>
          <w:snapToGrid w:val="0"/>
          <w:color w:val="auto"/>
          <w:sz w:val="22"/>
          <w:szCs w:val="22"/>
          <w:highlight w:val="none"/>
          <w:lang w:val="pt-BR"/>
        </w:rPr>
      </w:pPr>
      <w:r>
        <w:rPr>
          <w:rFonts w:hint="default" w:ascii="Calibri" w:hAnsi="Calibri" w:cs="Arial"/>
          <w:snapToGrid w:val="0"/>
          <w:color w:val="auto"/>
          <w:sz w:val="22"/>
          <w:szCs w:val="22"/>
          <w:highlight w:val="none"/>
          <w:lang w:val="pt-BR"/>
        </w:rPr>
        <w:t xml:space="preserve">10.3.1 </w:t>
      </w:r>
      <w:r>
        <w:rPr>
          <w:rFonts w:hint="default" w:ascii="Calibri" w:hAnsi="Calibri"/>
          <w:snapToGrid w:val="0"/>
          <w:color w:val="auto"/>
          <w:sz w:val="22"/>
          <w:szCs w:val="22"/>
          <w:highlight w:val="none"/>
          <w:lang w:val="pt-BR"/>
        </w:rPr>
        <w:t xml:space="preserve">Os interessados classificados até o 3º lugar deverão manifestar-se via chat durante a FASE 11, após solicitação, e posteriormente encaminhar e-mail para </w:t>
      </w:r>
      <w:r>
        <w:rPr>
          <w:rFonts w:hint="default" w:ascii="Calibri" w:hAnsi="Calibri"/>
          <w:snapToGrid w:val="0"/>
          <w:color w:val="auto"/>
          <w:sz w:val="22"/>
          <w:szCs w:val="22"/>
          <w:highlight w:val="none"/>
          <w:lang w:val="pt-BR"/>
        </w:rPr>
        <w:fldChar w:fldCharType="begin"/>
      </w:r>
      <w:r>
        <w:rPr>
          <w:rFonts w:hint="default" w:ascii="Calibri" w:hAnsi="Calibri"/>
          <w:snapToGrid w:val="0"/>
          <w:color w:val="auto"/>
          <w:sz w:val="22"/>
          <w:szCs w:val="22"/>
          <w:highlight w:val="none"/>
          <w:lang w:val="pt-BR"/>
        </w:rPr>
        <w:instrText xml:space="preserve"> HYPERLINK "mailto:licitacao@leme.sp.gov.br" </w:instrText>
      </w:r>
      <w:r>
        <w:rPr>
          <w:rFonts w:hint="default" w:ascii="Calibri" w:hAnsi="Calibri"/>
          <w:snapToGrid w:val="0"/>
          <w:color w:val="auto"/>
          <w:sz w:val="22"/>
          <w:szCs w:val="22"/>
          <w:highlight w:val="none"/>
          <w:lang w:val="pt-BR"/>
        </w:rPr>
        <w:fldChar w:fldCharType="separate"/>
      </w:r>
      <w:r>
        <w:rPr>
          <w:rStyle w:val="13"/>
          <w:rFonts w:hint="default" w:ascii="Calibri" w:hAnsi="Calibri"/>
          <w:snapToGrid w:val="0"/>
          <w:sz w:val="22"/>
          <w:szCs w:val="22"/>
          <w:highlight w:val="none"/>
          <w:lang w:val="pt-BR"/>
        </w:rPr>
        <w:t>licitacao@leme.sp.gov.br</w:t>
      </w:r>
      <w:r>
        <w:rPr>
          <w:rFonts w:hint="default" w:ascii="Calibri" w:hAnsi="Calibri"/>
          <w:snapToGrid w:val="0"/>
          <w:color w:val="auto"/>
          <w:sz w:val="22"/>
          <w:szCs w:val="22"/>
          <w:highlight w:val="none"/>
          <w:lang w:val="pt-BR"/>
        </w:rPr>
        <w:fldChar w:fldCharType="end"/>
      </w:r>
      <w:r>
        <w:rPr>
          <w:rFonts w:hint="default" w:ascii="Calibri" w:hAnsi="Calibri"/>
          <w:snapToGrid w:val="0"/>
          <w:color w:val="auto"/>
          <w:sz w:val="22"/>
          <w:szCs w:val="22"/>
          <w:highlight w:val="none"/>
          <w:lang w:val="pt-BR"/>
        </w:rPr>
        <w:t xml:space="preserve"> , contendo os dados da empresa e qual o tipo de cadastro deseja ser admitido </w:t>
      </w:r>
    </w:p>
    <w:p w14:paraId="1BA1E260">
      <w:pPr>
        <w:pStyle w:val="58"/>
        <w:keepNext w:val="0"/>
        <w:keepLines w:val="0"/>
        <w:pageBreakBefore w:val="0"/>
        <w:widowControl/>
        <w:numPr>
          <w:ilvl w:val="1"/>
          <w:numId w:val="0"/>
        </w:numPr>
        <w:shd w:val="clear" w:fill="F2B1BC"/>
        <w:kinsoku/>
        <w:wordWrap/>
        <w:overflowPunct/>
        <w:topLinePunct w:val="0"/>
        <w:autoSpaceDE/>
        <w:autoSpaceDN/>
        <w:bidi w:val="0"/>
        <w:adjustRightInd/>
        <w:snapToGrid/>
        <w:spacing w:before="0" w:after="0"/>
        <w:ind w:left="6" w:leftChars="0" w:firstLine="709" w:firstLineChars="0"/>
        <w:textAlignment w:val="auto"/>
        <w:rPr>
          <w:rFonts w:hint="default" w:ascii="Calibri" w:hAnsi="Calibri" w:cs="Arial"/>
          <w:snapToGrid w:val="0"/>
          <w:color w:val="auto"/>
          <w:sz w:val="22"/>
          <w:szCs w:val="22"/>
          <w:highlight w:val="none"/>
          <w:lang w:val="pt-BR"/>
        </w:rPr>
      </w:pPr>
      <w:r>
        <w:rPr>
          <w:rFonts w:hint="default" w:ascii="Calibri" w:hAnsi="Calibri" w:cs="Arial"/>
          <w:snapToGrid w:val="0"/>
          <w:color w:val="auto"/>
          <w:sz w:val="22"/>
          <w:szCs w:val="22"/>
          <w:highlight w:val="none"/>
          <w:lang w:val="pt-BR"/>
        </w:rPr>
        <w:t>10.3.2 O prazo para manifestação será de 10 minutos.</w:t>
      </w:r>
    </w:p>
    <w:p w14:paraId="2638B03F">
      <w:pPr>
        <w:pStyle w:val="58"/>
        <w:numPr>
          <w:ilvl w:val="1"/>
          <w:numId w:val="0"/>
        </w:numPr>
        <w:spacing w:after="0"/>
        <w:ind w:left="7" w:leftChars="0" w:hanging="7" w:firstLineChars="0"/>
        <w:rPr>
          <w:rFonts w:hint="default" w:ascii="Calibri" w:hAnsi="Calibri" w:cs="Arial"/>
          <w:sz w:val="22"/>
          <w:szCs w:val="22"/>
          <w:lang w:val="pt-BR"/>
        </w:rPr>
      </w:pPr>
      <w:r>
        <w:rPr>
          <w:rFonts w:hint="default" w:ascii="Calibri" w:hAnsi="Calibri" w:cs="Arial"/>
          <w:snapToGrid w:val="0"/>
          <w:sz w:val="22"/>
          <w:szCs w:val="22"/>
          <w:lang w:val="pt-BR"/>
        </w:rPr>
        <w:t xml:space="preserve">10.04 </w:t>
      </w:r>
      <w:r>
        <w:rPr>
          <w:rFonts w:ascii="Calibri" w:hAnsi="Calibri" w:cs="Arial"/>
          <w:sz w:val="22"/>
          <w:szCs w:val="22"/>
        </w:rPr>
        <w:t>A Administração convocará formalmente o licitante vencedor, com antecedência mínima de 5 (cinco) dias úteis, prazo improrrogável, informando o local, data e hora para a reunião e assinatura da Ata de Registro de Preço.</w:t>
      </w:r>
      <w:r>
        <w:rPr>
          <w:rFonts w:hint="default" w:ascii="Calibri" w:hAnsi="Calibri" w:cs="Arial"/>
          <w:sz w:val="22"/>
          <w:szCs w:val="22"/>
          <w:lang w:val="pt-BR"/>
        </w:rPr>
        <w:t xml:space="preserve"> Poderá ainda, a critério da administração, ser remetida ata para assinatura digital, através de sistema próprio, sendo considerado o início do prazo retro descrito, a partir da confirmação de entrega do documento via digital ao licitante. </w:t>
      </w:r>
    </w:p>
    <w:p w14:paraId="3257B063">
      <w:pPr>
        <w:pStyle w:val="58"/>
        <w:keepNext w:val="0"/>
        <w:keepLines w:val="0"/>
        <w:pageBreakBefore w:val="0"/>
        <w:widowControl/>
        <w:numPr>
          <w:ilvl w:val="1"/>
          <w:numId w:val="0"/>
        </w:numPr>
        <w:kinsoku/>
        <w:wordWrap/>
        <w:overflowPunct/>
        <w:topLinePunct w:val="0"/>
        <w:autoSpaceDE/>
        <w:autoSpaceDN/>
        <w:bidi w:val="0"/>
        <w:adjustRightInd/>
        <w:snapToGrid/>
        <w:spacing w:before="0" w:after="0" w:line="240" w:lineRule="auto"/>
        <w:ind w:left="6" w:leftChars="0" w:firstLine="559" w:firstLineChars="254"/>
        <w:textAlignment w:val="auto"/>
        <w:rPr>
          <w:rFonts w:ascii="Calibri" w:hAnsi="Calibri" w:cs="Arial"/>
          <w:b/>
          <w:sz w:val="22"/>
          <w:szCs w:val="22"/>
        </w:rPr>
      </w:pPr>
    </w:p>
    <w:p w14:paraId="62B1A912">
      <w:pPr>
        <w:pStyle w:val="58"/>
        <w:numPr>
          <w:ilvl w:val="1"/>
          <w:numId w:val="0"/>
        </w:numPr>
        <w:tabs>
          <w:tab w:val="left" w:pos="480"/>
        </w:tabs>
        <w:spacing w:after="0"/>
        <w:ind w:left="7" w:leftChars="0" w:hanging="7" w:firstLineChars="0"/>
        <w:rPr>
          <w:rFonts w:hint="default" w:ascii="Calibri" w:hAnsi="Calibri" w:cs="Arial"/>
          <w:b/>
          <w:sz w:val="22"/>
          <w:szCs w:val="22"/>
          <w:lang w:val="pt-BR"/>
        </w:rPr>
      </w:pPr>
      <w:r>
        <w:rPr>
          <w:rFonts w:ascii="Calibri" w:hAnsi="Calibri" w:cs="Arial"/>
          <w:b/>
          <w:sz w:val="22"/>
          <w:szCs w:val="22"/>
        </w:rPr>
        <w:t>1</w:t>
      </w:r>
      <w:r>
        <w:rPr>
          <w:rFonts w:hint="default" w:ascii="Calibri" w:hAnsi="Calibri" w:cs="Arial"/>
          <w:b/>
          <w:sz w:val="22"/>
          <w:szCs w:val="22"/>
          <w:lang w:val="pt-BR"/>
        </w:rPr>
        <w:t>1</w:t>
      </w:r>
      <w:r>
        <w:rPr>
          <w:rFonts w:ascii="Calibri" w:hAnsi="Calibri" w:cs="Arial"/>
          <w:b/>
          <w:sz w:val="22"/>
          <w:szCs w:val="22"/>
        </w:rPr>
        <w:t xml:space="preserve"> - D</w:t>
      </w:r>
      <w:r>
        <w:rPr>
          <w:rFonts w:hint="default" w:ascii="Calibri" w:hAnsi="Calibri" w:cs="Arial"/>
          <w:b/>
          <w:sz w:val="22"/>
          <w:szCs w:val="22"/>
          <w:lang w:val="pt-BR"/>
        </w:rPr>
        <w:t>AS CONTRATAÇÕES</w:t>
      </w:r>
    </w:p>
    <w:p w14:paraId="196658B7">
      <w:pPr>
        <w:pStyle w:val="58"/>
        <w:keepNext w:val="0"/>
        <w:keepLines w:val="0"/>
        <w:pageBreakBefore w:val="0"/>
        <w:widowControl/>
        <w:numPr>
          <w:ilvl w:val="1"/>
          <w:numId w:val="0"/>
        </w:numPr>
        <w:tabs>
          <w:tab w:val="left" w:pos="480"/>
        </w:tabs>
        <w:kinsoku/>
        <w:wordWrap/>
        <w:overflowPunct/>
        <w:topLinePunct w:val="0"/>
        <w:autoSpaceDE/>
        <w:autoSpaceDN/>
        <w:bidi w:val="0"/>
        <w:adjustRightInd/>
        <w:snapToGrid/>
        <w:spacing w:before="0" w:after="0" w:line="240" w:lineRule="auto"/>
        <w:ind w:left="6" w:leftChars="0" w:hanging="6" w:firstLineChars="0"/>
        <w:textAlignment w:val="auto"/>
        <w:rPr>
          <w:rFonts w:hint="default" w:ascii="Calibri" w:hAnsi="Calibri" w:cs="Arial"/>
          <w:b/>
          <w:sz w:val="22"/>
          <w:szCs w:val="22"/>
          <w:lang w:val="pt-BR"/>
        </w:rPr>
      </w:pPr>
    </w:p>
    <w:p w14:paraId="7F46DAB5">
      <w:pPr>
        <w:pStyle w:val="58"/>
        <w:numPr>
          <w:ilvl w:val="1"/>
          <w:numId w:val="0"/>
        </w:numPr>
        <w:tabs>
          <w:tab w:val="left" w:pos="480"/>
        </w:tabs>
        <w:spacing w:after="0"/>
        <w:ind w:left="7" w:leftChars="0" w:hanging="7" w:firstLineChars="0"/>
        <w:rPr>
          <w:rFonts w:ascii="Calibri" w:hAnsi="Calibri" w:cs="Arial"/>
          <w:sz w:val="22"/>
          <w:szCs w:val="22"/>
        </w:rPr>
      </w:pPr>
      <w:r>
        <w:rPr>
          <w:rFonts w:hint="default" w:ascii="Calibri" w:hAnsi="Calibri" w:cs="Arial"/>
          <w:sz w:val="22"/>
          <w:szCs w:val="22"/>
          <w:lang w:val="pt-BR"/>
        </w:rPr>
        <w:t xml:space="preserve">11.01 </w:t>
      </w:r>
      <w:r>
        <w:rPr>
          <w:rFonts w:ascii="Calibri" w:hAnsi="Calibri" w:cs="Arial"/>
          <w:sz w:val="22"/>
          <w:szCs w:val="22"/>
        </w:rPr>
        <w:t xml:space="preserve">Formalizada a Ata de Registro de Preços, as contratações dela decorrentes, dar-se-ão mediante a emissão de </w:t>
      </w:r>
      <w:r>
        <w:rPr>
          <w:rFonts w:hint="default" w:ascii="Calibri" w:hAnsi="Calibri" w:cs="Arial"/>
          <w:sz w:val="22"/>
          <w:szCs w:val="22"/>
          <w:lang w:val="pt-BR"/>
        </w:rPr>
        <w:t xml:space="preserve">termo de contrato ou instrumento equivalente, nos termos do </w:t>
      </w:r>
      <w:r>
        <w:rPr>
          <w:rFonts w:ascii="Calibri" w:hAnsi="Calibri" w:cs="Arial"/>
          <w:sz w:val="22"/>
          <w:szCs w:val="22"/>
        </w:rPr>
        <w:t xml:space="preserve">art. </w:t>
      </w:r>
      <w:r>
        <w:rPr>
          <w:rFonts w:hint="default" w:ascii="Calibri" w:hAnsi="Calibri" w:cs="Arial"/>
          <w:sz w:val="22"/>
          <w:szCs w:val="22"/>
          <w:lang w:val="pt-BR"/>
        </w:rPr>
        <w:t>95</w:t>
      </w:r>
      <w:r>
        <w:rPr>
          <w:rFonts w:ascii="Calibri" w:hAnsi="Calibri" w:cs="Arial"/>
          <w:sz w:val="22"/>
          <w:szCs w:val="22"/>
        </w:rPr>
        <w:t xml:space="preserve">, Lei </w:t>
      </w:r>
      <w:r>
        <w:rPr>
          <w:rFonts w:hint="default" w:ascii="Calibri" w:hAnsi="Calibri" w:cs="Arial"/>
          <w:sz w:val="22"/>
          <w:szCs w:val="22"/>
          <w:lang w:val="pt-BR"/>
        </w:rPr>
        <w:t>14.133/21</w:t>
      </w:r>
      <w:r>
        <w:rPr>
          <w:rFonts w:ascii="Calibri" w:hAnsi="Calibri" w:cs="Arial"/>
          <w:sz w:val="22"/>
          <w:szCs w:val="22"/>
        </w:rPr>
        <w:t xml:space="preserve">, </w:t>
      </w:r>
      <w:r>
        <w:rPr>
          <w:rFonts w:hint="default" w:ascii="Calibri" w:hAnsi="Calibri" w:cs="Arial"/>
          <w:sz w:val="22"/>
          <w:szCs w:val="22"/>
          <w:lang w:val="pt-BR"/>
        </w:rPr>
        <w:t>sendo que, no caso deste último, conterá</w:t>
      </w:r>
      <w:r>
        <w:rPr>
          <w:rFonts w:ascii="Calibri" w:hAnsi="Calibri" w:cs="Arial"/>
          <w:sz w:val="22"/>
          <w:szCs w:val="22"/>
        </w:rPr>
        <w:t xml:space="preserve"> informações simplificadas</w:t>
      </w:r>
      <w:r>
        <w:rPr>
          <w:rFonts w:hint="default" w:ascii="Calibri" w:hAnsi="Calibri" w:cs="Arial"/>
          <w:sz w:val="22"/>
          <w:szCs w:val="22"/>
          <w:lang w:val="pt-BR"/>
        </w:rPr>
        <w:t>, mas vinculado</w:t>
      </w:r>
      <w:r>
        <w:rPr>
          <w:rFonts w:ascii="Calibri" w:hAnsi="Calibri" w:cs="Arial"/>
          <w:sz w:val="22"/>
          <w:szCs w:val="22"/>
        </w:rPr>
        <w:t xml:space="preserve"> às condições estabelecidas </w:t>
      </w:r>
      <w:r>
        <w:rPr>
          <w:rFonts w:hint="default" w:ascii="Calibri" w:hAnsi="Calibri" w:cs="Arial"/>
          <w:sz w:val="22"/>
          <w:szCs w:val="22"/>
          <w:lang w:val="pt-BR"/>
        </w:rPr>
        <w:t xml:space="preserve">no Edital e </w:t>
      </w:r>
      <w:r>
        <w:rPr>
          <w:rFonts w:ascii="Calibri" w:hAnsi="Calibri" w:cs="Arial"/>
          <w:sz w:val="22"/>
          <w:szCs w:val="22"/>
        </w:rPr>
        <w:t>na Ata de Registro de Preços</w:t>
      </w:r>
      <w:r>
        <w:rPr>
          <w:rFonts w:hint="default" w:ascii="Calibri" w:hAnsi="Calibri" w:cs="Arial"/>
          <w:sz w:val="22"/>
          <w:szCs w:val="22"/>
          <w:lang w:val="pt-BR"/>
        </w:rPr>
        <w:t xml:space="preserve">, para todos os fins. </w:t>
      </w:r>
      <w:r>
        <w:rPr>
          <w:rFonts w:ascii="Calibri" w:hAnsi="Calibri" w:cs="Arial"/>
          <w:sz w:val="22"/>
          <w:szCs w:val="22"/>
        </w:rPr>
        <w:t xml:space="preserve"> </w:t>
      </w:r>
      <w:bookmarkStart w:id="45" w:name="_Toc122606113"/>
    </w:p>
    <w:p w14:paraId="602D6737">
      <w:pPr>
        <w:pStyle w:val="58"/>
        <w:keepNext w:val="0"/>
        <w:keepLines w:val="0"/>
        <w:pageBreakBefore w:val="0"/>
        <w:widowControl/>
        <w:numPr>
          <w:ilvl w:val="1"/>
          <w:numId w:val="0"/>
        </w:numPr>
        <w:tabs>
          <w:tab w:val="left" w:pos="480"/>
        </w:tabs>
        <w:kinsoku/>
        <w:wordWrap/>
        <w:overflowPunct/>
        <w:topLinePunct w:val="0"/>
        <w:autoSpaceDE/>
        <w:autoSpaceDN/>
        <w:bidi w:val="0"/>
        <w:adjustRightInd/>
        <w:snapToGrid/>
        <w:spacing w:before="0" w:after="0" w:line="240" w:lineRule="auto"/>
        <w:ind w:left="6" w:leftChars="0" w:hanging="6" w:firstLineChars="0"/>
        <w:textAlignment w:val="auto"/>
        <w:rPr>
          <w:rFonts w:ascii="Calibri" w:hAnsi="Calibri" w:cs="Arial"/>
          <w:sz w:val="22"/>
          <w:szCs w:val="22"/>
        </w:rPr>
      </w:pPr>
    </w:p>
    <w:p w14:paraId="03301000">
      <w:pPr>
        <w:pStyle w:val="58"/>
        <w:numPr>
          <w:ilvl w:val="1"/>
          <w:numId w:val="0"/>
        </w:numPr>
        <w:tabs>
          <w:tab w:val="left" w:pos="480"/>
        </w:tabs>
        <w:spacing w:after="0"/>
        <w:ind w:left="0" w:leftChars="0" w:hanging="7" w:firstLineChars="0"/>
        <w:rPr>
          <w:rFonts w:asciiTheme="majorHAnsi" w:hAnsiTheme="majorHAnsi" w:cstheme="majorHAnsi"/>
          <w:b/>
          <w:bCs/>
          <w:sz w:val="22"/>
          <w:szCs w:val="22"/>
        </w:rPr>
      </w:pPr>
      <w:r>
        <w:rPr>
          <w:rFonts w:hint="default" w:asciiTheme="majorHAnsi" w:hAnsiTheme="majorHAnsi" w:cstheme="majorHAnsi"/>
          <w:b/>
          <w:bCs/>
          <w:sz w:val="22"/>
          <w:szCs w:val="22"/>
          <w:lang w:val="pt-BR"/>
        </w:rPr>
        <w:t xml:space="preserve">12 </w:t>
      </w:r>
      <w:r>
        <w:rPr>
          <w:rFonts w:asciiTheme="majorHAnsi" w:hAnsiTheme="majorHAnsi" w:cstheme="majorHAnsi"/>
          <w:b/>
          <w:bCs/>
          <w:sz w:val="22"/>
          <w:szCs w:val="22"/>
        </w:rPr>
        <w:t>DAS DISPOSIÇÕES GERAIS</w:t>
      </w:r>
      <w:bookmarkEnd w:id="45"/>
    </w:p>
    <w:p w14:paraId="09086C61">
      <w:pPr>
        <w:pStyle w:val="58"/>
        <w:keepNext w:val="0"/>
        <w:keepLines w:val="0"/>
        <w:pageBreakBefore w:val="0"/>
        <w:widowControl/>
        <w:numPr>
          <w:ilvl w:val="1"/>
          <w:numId w:val="0"/>
        </w:numPr>
        <w:tabs>
          <w:tab w:val="left" w:pos="480"/>
        </w:tabs>
        <w:kinsoku/>
        <w:wordWrap/>
        <w:overflowPunct/>
        <w:topLinePunct w:val="0"/>
        <w:autoSpaceDE/>
        <w:autoSpaceDN/>
        <w:bidi w:val="0"/>
        <w:adjustRightInd/>
        <w:snapToGrid/>
        <w:spacing w:before="0" w:after="0" w:line="240" w:lineRule="auto"/>
        <w:ind w:left="0" w:leftChars="0" w:hanging="7" w:firstLineChars="0"/>
        <w:textAlignment w:val="auto"/>
        <w:rPr>
          <w:rFonts w:asciiTheme="majorHAnsi" w:hAnsiTheme="majorHAnsi" w:cstheme="majorHAnsi"/>
          <w:b/>
          <w:bCs/>
          <w:sz w:val="22"/>
          <w:szCs w:val="22"/>
        </w:rPr>
      </w:pPr>
    </w:p>
    <w:p w14:paraId="70B99C46">
      <w:pPr>
        <w:pStyle w:val="58"/>
        <w:numPr>
          <w:ilvl w:val="1"/>
          <w:numId w:val="0"/>
        </w:numPr>
        <w:tabs>
          <w:tab w:val="left" w:pos="480"/>
        </w:tabs>
        <w:spacing w:after="0"/>
        <w:ind w:left="0" w:leftChars="0" w:hanging="7" w:firstLineChars="0"/>
        <w:rPr>
          <w:rFonts w:asciiTheme="majorHAnsi" w:hAnsiTheme="majorHAnsi" w:cstheme="majorHAnsi"/>
          <w:sz w:val="22"/>
          <w:szCs w:val="22"/>
        </w:rPr>
      </w:pPr>
      <w:r>
        <w:rPr>
          <w:rFonts w:hint="default" w:asciiTheme="majorHAnsi" w:hAnsiTheme="majorHAnsi" w:cstheme="majorHAnsi"/>
          <w:sz w:val="22"/>
          <w:szCs w:val="22"/>
          <w:lang w:val="pt-BR"/>
        </w:rPr>
        <w:t xml:space="preserve">12.01 </w:t>
      </w:r>
      <w:r>
        <w:rPr>
          <w:rFonts w:asciiTheme="majorHAnsi" w:hAnsiTheme="majorHAnsi" w:cstheme="majorHAnsi"/>
          <w:sz w:val="22"/>
          <w:szCs w:val="22"/>
        </w:rPr>
        <w:t>Será divulgada ata da sessão pública no sistema eletrônico.</w:t>
      </w:r>
    </w:p>
    <w:p w14:paraId="3B34DCED">
      <w:pPr>
        <w:pStyle w:val="58"/>
        <w:numPr>
          <w:ilvl w:val="1"/>
          <w:numId w:val="0"/>
        </w:numPr>
        <w:tabs>
          <w:tab w:val="left" w:pos="480"/>
        </w:tabs>
        <w:spacing w:after="0"/>
        <w:ind w:left="0" w:leftChars="0" w:hanging="7" w:firstLineChars="0"/>
        <w:rPr>
          <w:rFonts w:asciiTheme="majorHAnsi" w:hAnsiTheme="majorHAnsi" w:cstheme="majorHAnsi"/>
          <w:sz w:val="22"/>
          <w:szCs w:val="22"/>
        </w:rPr>
      </w:pPr>
      <w:r>
        <w:rPr>
          <w:rFonts w:hint="default" w:asciiTheme="majorHAnsi" w:hAnsiTheme="majorHAnsi" w:cstheme="majorHAnsi"/>
          <w:sz w:val="22"/>
          <w:szCs w:val="22"/>
          <w:lang w:val="pt-BR"/>
        </w:rPr>
        <w:t xml:space="preserve">12.02 </w:t>
      </w:r>
      <w:r>
        <w:rPr>
          <w:rFonts w:asciiTheme="majorHAnsi" w:hAnsiTheme="majorHAnsi" w:cstheme="majorHAnsi"/>
          <w:sz w:val="22"/>
          <w:szCs w:val="22"/>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4838C0CD">
      <w:pPr>
        <w:pStyle w:val="58"/>
        <w:numPr>
          <w:ilvl w:val="1"/>
          <w:numId w:val="0"/>
        </w:numPr>
        <w:tabs>
          <w:tab w:val="left" w:pos="480"/>
        </w:tabs>
        <w:spacing w:after="0"/>
        <w:ind w:left="0" w:leftChars="0" w:hanging="7" w:firstLineChars="0"/>
        <w:rPr>
          <w:rFonts w:asciiTheme="majorHAnsi" w:hAnsiTheme="majorHAnsi" w:cstheme="majorHAnsi"/>
          <w:sz w:val="22"/>
          <w:szCs w:val="22"/>
        </w:rPr>
      </w:pPr>
      <w:r>
        <w:rPr>
          <w:rFonts w:hint="default" w:asciiTheme="majorHAnsi" w:hAnsiTheme="majorHAnsi" w:cstheme="majorHAnsi"/>
          <w:sz w:val="22"/>
          <w:szCs w:val="22"/>
          <w:lang w:val="pt-BR"/>
        </w:rPr>
        <w:t xml:space="preserve">12.03 </w:t>
      </w:r>
      <w:r>
        <w:rPr>
          <w:rFonts w:asciiTheme="majorHAnsi" w:hAnsiTheme="majorHAnsi" w:cstheme="majorHAnsi"/>
          <w:sz w:val="22"/>
          <w:szCs w:val="22"/>
        </w:rPr>
        <w:t>Todas as referências de tempo no Edital, no aviso e durante a sessão pública observarão o horário de Brasília - DF.</w:t>
      </w:r>
    </w:p>
    <w:p w14:paraId="62A7D87E">
      <w:pPr>
        <w:pStyle w:val="58"/>
        <w:numPr>
          <w:ilvl w:val="1"/>
          <w:numId w:val="0"/>
        </w:numPr>
        <w:tabs>
          <w:tab w:val="left" w:pos="480"/>
        </w:tabs>
        <w:spacing w:after="0"/>
        <w:ind w:left="0" w:leftChars="0" w:hanging="7" w:firstLineChars="0"/>
        <w:rPr>
          <w:rFonts w:asciiTheme="majorHAnsi" w:hAnsiTheme="majorHAnsi" w:cstheme="majorHAnsi"/>
          <w:sz w:val="22"/>
          <w:szCs w:val="22"/>
        </w:rPr>
      </w:pPr>
      <w:r>
        <w:rPr>
          <w:rFonts w:hint="default" w:asciiTheme="majorHAnsi" w:hAnsiTheme="majorHAnsi" w:cstheme="majorHAnsi"/>
          <w:sz w:val="22"/>
          <w:szCs w:val="22"/>
          <w:lang w:val="pt-BR"/>
        </w:rPr>
        <w:t xml:space="preserve">12.04 </w:t>
      </w:r>
      <w:r>
        <w:rPr>
          <w:rFonts w:asciiTheme="majorHAnsi" w:hAnsiTheme="majorHAnsi" w:cstheme="majorHAnsi"/>
          <w:sz w:val="22"/>
          <w:szCs w:val="22"/>
        </w:rPr>
        <w:t>A homologação do resultado desta licitação não implicará direito à contratação.</w:t>
      </w:r>
    </w:p>
    <w:p w14:paraId="12187366">
      <w:pPr>
        <w:pStyle w:val="58"/>
        <w:numPr>
          <w:ilvl w:val="1"/>
          <w:numId w:val="0"/>
        </w:numPr>
        <w:tabs>
          <w:tab w:val="left" w:pos="480"/>
        </w:tabs>
        <w:spacing w:after="0"/>
        <w:ind w:left="7" w:leftChars="0" w:hanging="7" w:firstLineChars="0"/>
        <w:rPr>
          <w:rFonts w:asciiTheme="majorHAnsi" w:hAnsiTheme="majorHAnsi" w:cstheme="majorHAnsi"/>
          <w:sz w:val="22"/>
          <w:szCs w:val="22"/>
        </w:rPr>
      </w:pPr>
      <w:r>
        <w:rPr>
          <w:rFonts w:hint="default" w:asciiTheme="majorHAnsi" w:hAnsiTheme="majorHAnsi" w:cstheme="majorHAnsi"/>
          <w:sz w:val="22"/>
          <w:szCs w:val="22"/>
          <w:lang w:val="pt-BR"/>
        </w:rPr>
        <w:t xml:space="preserve">12.05 </w:t>
      </w:r>
      <w:r>
        <w:rPr>
          <w:rFonts w:asciiTheme="majorHAnsi" w:hAnsiTheme="majorHAnsi" w:cstheme="majorHAnsi"/>
          <w:sz w:val="22"/>
          <w:szCs w:val="22"/>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4935A5B9">
      <w:pPr>
        <w:pStyle w:val="58"/>
        <w:numPr>
          <w:ilvl w:val="1"/>
          <w:numId w:val="0"/>
        </w:numPr>
        <w:tabs>
          <w:tab w:val="left" w:pos="480"/>
        </w:tabs>
        <w:spacing w:after="0"/>
        <w:ind w:left="7" w:leftChars="0" w:hanging="7" w:firstLineChars="0"/>
        <w:rPr>
          <w:rFonts w:asciiTheme="majorHAnsi" w:hAnsiTheme="majorHAnsi" w:cstheme="majorHAnsi"/>
          <w:sz w:val="22"/>
          <w:szCs w:val="22"/>
        </w:rPr>
      </w:pPr>
      <w:r>
        <w:rPr>
          <w:rFonts w:hint="default" w:asciiTheme="majorHAnsi" w:hAnsiTheme="majorHAnsi" w:cstheme="majorHAnsi"/>
          <w:sz w:val="22"/>
          <w:szCs w:val="22"/>
          <w:lang w:val="pt-BR"/>
        </w:rPr>
        <w:t xml:space="preserve">12.06 </w:t>
      </w:r>
      <w:r>
        <w:rPr>
          <w:rFonts w:asciiTheme="majorHAnsi" w:hAnsiTheme="majorHAnsi" w:cstheme="majorHAnsi"/>
          <w:sz w:val="22"/>
          <w:szCs w:val="22"/>
        </w:rPr>
        <w:t>Os licitantes assumem todos os custos de preparação e apresentação de suas propostas e a Administração não será, em nenhum caso, responsável por esses custos, independentemente da condução ou do resultado do processo licitatório.</w:t>
      </w:r>
    </w:p>
    <w:p w14:paraId="44545A06">
      <w:pPr>
        <w:pStyle w:val="58"/>
        <w:numPr>
          <w:ilvl w:val="1"/>
          <w:numId w:val="0"/>
        </w:numPr>
        <w:tabs>
          <w:tab w:val="left" w:pos="480"/>
        </w:tabs>
        <w:spacing w:after="0"/>
        <w:ind w:left="7" w:leftChars="0" w:hanging="7" w:firstLineChars="0"/>
        <w:rPr>
          <w:rFonts w:hint="default" w:ascii="Calibri" w:hAnsi="Calibri" w:cs="Calibri"/>
          <w:sz w:val="22"/>
          <w:szCs w:val="22"/>
          <w:lang w:val="pt-BR"/>
        </w:rPr>
      </w:pPr>
      <w:r>
        <w:rPr>
          <w:rFonts w:hint="default" w:ascii="Calibri" w:hAnsi="Calibri" w:cs="Calibri"/>
          <w:sz w:val="22"/>
          <w:szCs w:val="22"/>
          <w:lang w:val="pt-BR"/>
        </w:rPr>
        <w:t>12.07 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ou do pedido de compra, sem prejuízo das demais sanções cabíveis.</w:t>
      </w:r>
    </w:p>
    <w:p w14:paraId="77E4E3CD">
      <w:pPr>
        <w:pStyle w:val="58"/>
        <w:numPr>
          <w:ilvl w:val="1"/>
          <w:numId w:val="0"/>
        </w:numPr>
        <w:tabs>
          <w:tab w:val="left" w:pos="480"/>
        </w:tabs>
        <w:spacing w:after="0"/>
        <w:ind w:left="7" w:leftChars="0" w:hanging="7" w:firstLineChars="0"/>
        <w:rPr>
          <w:rFonts w:hint="default" w:ascii="Calibri" w:hAnsi="Calibri" w:cs="Calibri"/>
          <w:sz w:val="22"/>
          <w:szCs w:val="22"/>
          <w:lang w:val="pt-BR"/>
        </w:rPr>
      </w:pPr>
      <w:r>
        <w:rPr>
          <w:rFonts w:hint="default" w:ascii="Calibri" w:hAnsi="Calibri" w:cs="Calibri"/>
          <w:sz w:val="22"/>
          <w:szCs w:val="22"/>
          <w:lang w:val="pt-BR"/>
        </w:rPr>
        <w:t>12.08 É facultado ao Pregoeiro, ou à autoridade a ele superior, em qualquer fase da licitação, promover diligências com vistas a esclarecer ou a complementar a instrução do processo.</w:t>
      </w:r>
    </w:p>
    <w:p w14:paraId="585F712A">
      <w:pPr>
        <w:pStyle w:val="58"/>
        <w:numPr>
          <w:ilvl w:val="1"/>
          <w:numId w:val="0"/>
        </w:numPr>
        <w:tabs>
          <w:tab w:val="left" w:pos="480"/>
        </w:tabs>
        <w:spacing w:after="0"/>
        <w:ind w:left="7" w:leftChars="0" w:hanging="7" w:firstLineChars="0"/>
        <w:rPr>
          <w:rFonts w:hint="default" w:ascii="Calibri" w:hAnsi="Calibri" w:cs="Calibri"/>
          <w:sz w:val="22"/>
          <w:szCs w:val="22"/>
          <w:lang w:val="pt-BR"/>
        </w:rPr>
      </w:pPr>
      <w:r>
        <w:rPr>
          <w:rFonts w:hint="default" w:ascii="Calibri" w:hAnsi="Calibri" w:cs="Calibri"/>
          <w:sz w:val="22"/>
          <w:szCs w:val="22"/>
          <w:lang w:val="pt-BR"/>
        </w:rPr>
        <w:t>12.09 Os proponentes intimados para prestar quaisquer esclarecimentos adicionais deverão fazê-lo no prazo determinado pelo Pregoeiro, sob pena de desclassificação/inabilitação.</w:t>
      </w:r>
    </w:p>
    <w:p w14:paraId="60A2B1AE">
      <w:pPr>
        <w:pStyle w:val="58"/>
        <w:numPr>
          <w:ilvl w:val="1"/>
          <w:numId w:val="0"/>
        </w:numPr>
        <w:tabs>
          <w:tab w:val="left" w:pos="480"/>
        </w:tabs>
        <w:spacing w:after="0"/>
        <w:ind w:left="7" w:leftChars="0" w:hanging="7" w:firstLineChars="0"/>
        <w:rPr>
          <w:rFonts w:hint="default" w:ascii="Calibri" w:hAnsi="Calibri" w:cs="Calibri"/>
          <w:color w:val="000000"/>
          <w:sz w:val="22"/>
          <w:szCs w:val="22"/>
          <w:lang w:val="pt-BR"/>
        </w:rPr>
      </w:pPr>
      <w:r>
        <w:rPr>
          <w:rFonts w:hint="default" w:ascii="Calibri" w:hAnsi="Calibri" w:cs="Calibri"/>
          <w:sz w:val="22"/>
          <w:szCs w:val="22"/>
          <w:lang w:val="pt-BR"/>
        </w:rPr>
        <w:t xml:space="preserve">12.10 </w:t>
      </w:r>
      <w:r>
        <w:rPr>
          <w:rFonts w:hint="default" w:ascii="Calibri" w:hAnsi="Calibri" w:cs="Calibri"/>
          <w:color w:val="000000"/>
          <w:sz w:val="22"/>
          <w:szCs w:val="22"/>
          <w:lang w:val="pt-BR"/>
        </w:rPr>
        <w:t>As decisões referentes a este processo licitatório serão lançadas no processo eletrônico, e, ainda,  caso necessário, por qualquer meio de comunicação que se comprove o recebimento, ou publicação oficial.</w:t>
      </w:r>
    </w:p>
    <w:p w14:paraId="635D8475">
      <w:pPr>
        <w:pStyle w:val="58"/>
        <w:numPr>
          <w:ilvl w:val="1"/>
          <w:numId w:val="0"/>
        </w:numPr>
        <w:tabs>
          <w:tab w:val="left" w:pos="480"/>
        </w:tabs>
        <w:spacing w:after="0"/>
        <w:ind w:left="7" w:leftChars="0" w:hanging="7" w:firstLineChars="0"/>
        <w:rPr>
          <w:rFonts w:hint="default" w:ascii="Calibri" w:hAnsi="Calibri" w:cs="Calibri"/>
          <w:bCs/>
          <w:sz w:val="22"/>
          <w:szCs w:val="22"/>
          <w:lang w:val="pt-BR"/>
        </w:rPr>
      </w:pPr>
      <w:r>
        <w:rPr>
          <w:rFonts w:hint="default" w:ascii="Calibri" w:hAnsi="Calibri" w:cs="Calibri"/>
          <w:bCs/>
          <w:sz w:val="22"/>
          <w:szCs w:val="22"/>
          <w:lang w:val="pt-BR"/>
        </w:rPr>
        <w:t>12.11. Não cabe à Bolsa Brasileira de Mercadorias qualquer responsabilidade pelas obrigações assumidas pelo fornecedor com o licitador, em especial com relação à forma e às condições de entrega dos bens ou da prestação de serviços e quanto à quitação financeira da negociação realizada.</w:t>
      </w:r>
    </w:p>
    <w:p w14:paraId="10C93E1A">
      <w:pPr>
        <w:pStyle w:val="58"/>
        <w:numPr>
          <w:ilvl w:val="1"/>
          <w:numId w:val="0"/>
        </w:numPr>
        <w:tabs>
          <w:tab w:val="left" w:pos="480"/>
        </w:tabs>
        <w:spacing w:after="0"/>
        <w:ind w:left="7" w:leftChars="0" w:hanging="7" w:firstLineChars="0"/>
        <w:rPr>
          <w:rFonts w:asciiTheme="majorHAnsi" w:hAnsiTheme="majorHAnsi" w:cstheme="majorHAnsi"/>
          <w:sz w:val="22"/>
          <w:szCs w:val="22"/>
        </w:rPr>
      </w:pPr>
      <w:r>
        <w:rPr>
          <w:rFonts w:hint="default" w:asciiTheme="majorHAnsi" w:hAnsiTheme="majorHAnsi" w:cstheme="majorHAnsi"/>
          <w:sz w:val="22"/>
          <w:szCs w:val="22"/>
          <w:lang w:val="pt-BR"/>
        </w:rPr>
        <w:t xml:space="preserve">12.12 </w:t>
      </w:r>
      <w:r>
        <w:rPr>
          <w:rFonts w:asciiTheme="majorHAnsi" w:hAnsiTheme="majorHAnsi" w:cstheme="majorHAnsi"/>
          <w:sz w:val="22"/>
          <w:szCs w:val="22"/>
        </w:rPr>
        <w:t>Na contagem dos prazos estabelecidos neste Edital e seus Anexos, excluir-se-á o dia do início e incluir-se-á o do vencimento. Só se iniciam e vencem os prazos em dias de expediente na Administração.</w:t>
      </w:r>
    </w:p>
    <w:p w14:paraId="6B49C9C7">
      <w:pPr>
        <w:pStyle w:val="58"/>
        <w:numPr>
          <w:ilvl w:val="1"/>
          <w:numId w:val="0"/>
        </w:numPr>
        <w:tabs>
          <w:tab w:val="left" w:pos="480"/>
        </w:tabs>
        <w:spacing w:after="0"/>
        <w:ind w:left="7" w:leftChars="0" w:hanging="7" w:firstLineChars="0"/>
        <w:rPr>
          <w:rFonts w:asciiTheme="majorHAnsi" w:hAnsiTheme="majorHAnsi" w:cstheme="majorHAnsi"/>
          <w:sz w:val="22"/>
          <w:szCs w:val="22"/>
        </w:rPr>
      </w:pPr>
      <w:r>
        <w:rPr>
          <w:rFonts w:hint="default" w:asciiTheme="majorHAnsi" w:hAnsiTheme="majorHAnsi" w:cstheme="majorHAnsi"/>
          <w:sz w:val="22"/>
          <w:szCs w:val="22"/>
          <w:lang w:val="pt-BR"/>
        </w:rPr>
        <w:t xml:space="preserve">12.13 </w:t>
      </w:r>
      <w:r>
        <w:rPr>
          <w:rFonts w:asciiTheme="majorHAnsi" w:hAnsiTheme="majorHAnsi" w:cstheme="majorHAnsi"/>
          <w:sz w:val="22"/>
          <w:szCs w:val="22"/>
        </w:rPr>
        <w:t>O desatendimento de exigências formais não essenciais não importará o afastamento do licitante, desde que seja possível o aproveitamento do ato, observados os princípios da isonomia e do interesse público.</w:t>
      </w:r>
    </w:p>
    <w:p w14:paraId="5A54F626">
      <w:pPr>
        <w:pStyle w:val="58"/>
        <w:numPr>
          <w:ilvl w:val="1"/>
          <w:numId w:val="0"/>
        </w:numPr>
        <w:tabs>
          <w:tab w:val="left" w:pos="480"/>
        </w:tabs>
        <w:spacing w:after="0"/>
        <w:ind w:left="7" w:leftChars="0" w:hanging="7" w:firstLineChars="0"/>
        <w:rPr>
          <w:rFonts w:asciiTheme="majorHAnsi" w:hAnsiTheme="majorHAnsi" w:cstheme="majorHAnsi"/>
          <w:sz w:val="22"/>
          <w:szCs w:val="22"/>
        </w:rPr>
      </w:pPr>
      <w:r>
        <w:rPr>
          <w:rFonts w:hint="default" w:asciiTheme="majorHAnsi" w:hAnsiTheme="majorHAnsi" w:cstheme="majorHAnsi"/>
          <w:sz w:val="22"/>
          <w:szCs w:val="22"/>
          <w:lang w:val="pt-BR"/>
        </w:rPr>
        <w:t xml:space="preserve">12.14 </w:t>
      </w:r>
      <w:r>
        <w:rPr>
          <w:rFonts w:asciiTheme="majorHAnsi" w:hAnsiTheme="majorHAnsi" w:cstheme="majorHAnsi"/>
          <w:sz w:val="22"/>
          <w:szCs w:val="22"/>
        </w:rPr>
        <w:t xml:space="preserve">O Manual de operações da Plataforma BBMNET Licitações encontra-se disponível aos interessados no Portal </w:t>
      </w:r>
      <w:r>
        <w:fldChar w:fldCharType="begin"/>
      </w:r>
      <w:r>
        <w:instrText xml:space="preserve"> HYPERLINK "http://www.novobbmnet.com.br" </w:instrText>
      </w:r>
      <w:r>
        <w:fldChar w:fldCharType="separate"/>
      </w:r>
      <w:r>
        <w:rPr>
          <w:rStyle w:val="13"/>
          <w:rFonts w:asciiTheme="majorHAnsi" w:hAnsiTheme="majorHAnsi" w:cstheme="majorHAnsi"/>
          <w:sz w:val="22"/>
          <w:szCs w:val="22"/>
        </w:rPr>
        <w:t>www.novobbmnet.com.br</w:t>
      </w:r>
      <w:r>
        <w:rPr>
          <w:rStyle w:val="13"/>
          <w:rFonts w:asciiTheme="majorHAnsi" w:hAnsiTheme="majorHAnsi" w:cstheme="majorHAnsi"/>
          <w:sz w:val="22"/>
          <w:szCs w:val="22"/>
        </w:rPr>
        <w:fldChar w:fldCharType="end"/>
      </w:r>
      <w:r>
        <w:rPr>
          <w:rFonts w:asciiTheme="majorHAnsi" w:hAnsiTheme="majorHAnsi" w:cstheme="majorHAnsi"/>
          <w:sz w:val="22"/>
          <w:szCs w:val="22"/>
        </w:rPr>
        <w:t xml:space="preserve"> .</w:t>
      </w:r>
    </w:p>
    <w:p w14:paraId="23EB7D85">
      <w:pPr>
        <w:pStyle w:val="58"/>
        <w:numPr>
          <w:ilvl w:val="1"/>
          <w:numId w:val="0"/>
        </w:numPr>
        <w:tabs>
          <w:tab w:val="left" w:pos="480"/>
        </w:tabs>
        <w:spacing w:after="0"/>
        <w:ind w:left="7" w:leftChars="0" w:hanging="7" w:firstLineChars="0"/>
        <w:rPr>
          <w:rFonts w:asciiTheme="majorHAnsi" w:hAnsiTheme="majorHAnsi" w:cstheme="majorHAnsi"/>
          <w:sz w:val="22"/>
          <w:szCs w:val="22"/>
        </w:rPr>
      </w:pPr>
      <w:r>
        <w:rPr>
          <w:rFonts w:hint="default" w:asciiTheme="majorHAnsi" w:hAnsiTheme="majorHAnsi" w:cstheme="majorHAnsi"/>
          <w:sz w:val="22"/>
          <w:szCs w:val="22"/>
          <w:lang w:val="pt-BR"/>
        </w:rPr>
        <w:t xml:space="preserve">12.15 </w:t>
      </w:r>
      <w:r>
        <w:rPr>
          <w:rFonts w:asciiTheme="majorHAnsi" w:hAnsiTheme="majorHAnsi" w:cstheme="majorHAnsi"/>
          <w:sz w:val="22"/>
          <w:szCs w:val="22"/>
        </w:rPr>
        <w:t xml:space="preserve">Dúvidas ou esclarecimentos adicionais sobre o uso da Plataforma BBMNET Licitações podem ser obtidas nos canais de atendimento da Plataforma BBMNET Licitações, por e-mail, whatsapp, telefone e chat disponíveis no Portal </w:t>
      </w:r>
      <w:r>
        <w:fldChar w:fldCharType="begin"/>
      </w:r>
      <w:r>
        <w:instrText xml:space="preserve"> HYPERLINK "http://www.novobbmnet.com.br" </w:instrText>
      </w:r>
      <w:r>
        <w:fldChar w:fldCharType="separate"/>
      </w:r>
      <w:r>
        <w:rPr>
          <w:rStyle w:val="13"/>
          <w:rFonts w:asciiTheme="majorHAnsi" w:hAnsiTheme="majorHAnsi" w:cstheme="majorHAnsi"/>
          <w:sz w:val="22"/>
          <w:szCs w:val="22"/>
        </w:rPr>
        <w:t>www.novobbmnet.com.br</w:t>
      </w:r>
      <w:r>
        <w:rPr>
          <w:rStyle w:val="13"/>
          <w:rFonts w:asciiTheme="majorHAnsi" w:hAnsiTheme="majorHAnsi" w:cstheme="majorHAnsi"/>
          <w:sz w:val="22"/>
          <w:szCs w:val="22"/>
        </w:rPr>
        <w:fldChar w:fldCharType="end"/>
      </w:r>
      <w:r>
        <w:rPr>
          <w:rFonts w:asciiTheme="majorHAnsi" w:hAnsiTheme="majorHAnsi" w:cstheme="majorHAnsi"/>
          <w:sz w:val="22"/>
          <w:szCs w:val="22"/>
        </w:rPr>
        <w:t xml:space="preserve"> .</w:t>
      </w:r>
    </w:p>
    <w:p w14:paraId="313F4311">
      <w:pPr>
        <w:pStyle w:val="58"/>
        <w:numPr>
          <w:ilvl w:val="1"/>
          <w:numId w:val="0"/>
        </w:numPr>
        <w:tabs>
          <w:tab w:val="left" w:pos="480"/>
        </w:tabs>
        <w:spacing w:after="0"/>
        <w:ind w:left="7" w:leftChars="0" w:hanging="7" w:firstLineChars="0"/>
        <w:rPr>
          <w:rFonts w:hint="default" w:ascii="Calibri" w:hAnsi="Calibri" w:cs="Calibri"/>
          <w:sz w:val="21"/>
          <w:szCs w:val="21"/>
          <w:lang w:val="pt-BR"/>
        </w:rPr>
      </w:pPr>
      <w:r>
        <w:rPr>
          <w:rFonts w:hint="default" w:asciiTheme="majorHAnsi" w:hAnsiTheme="majorHAnsi" w:cstheme="majorHAnsi"/>
          <w:sz w:val="22"/>
          <w:szCs w:val="22"/>
          <w:lang w:val="pt-BR"/>
        </w:rPr>
        <w:t>12.16</w:t>
      </w:r>
      <w:r>
        <w:rPr>
          <w:rFonts w:hint="default" w:ascii="Calibri" w:hAnsi="Calibri" w:cs="Calibri"/>
          <w:sz w:val="21"/>
          <w:szCs w:val="21"/>
        </w:rPr>
        <w:t xml:space="preserve"> </w:t>
      </w:r>
      <w:r>
        <w:rPr>
          <w:rFonts w:hint="default" w:ascii="Calibri" w:hAnsi="Calibri" w:cs="Calibri"/>
          <w:sz w:val="21"/>
          <w:szCs w:val="21"/>
          <w:lang w:val="pt-BR"/>
        </w:rPr>
        <w:t xml:space="preserve">Outras dúvidas acerca do edital, também poderão ser esclarecidas </w:t>
      </w:r>
      <w:r>
        <w:rPr>
          <w:rFonts w:hint="default" w:ascii="Calibri" w:hAnsi="Calibri" w:cs="Calibri"/>
          <w:sz w:val="21"/>
          <w:szCs w:val="21"/>
        </w:rPr>
        <w:t xml:space="preserve">horário de 08:00 às 16:00, de segunda a sexta-feira, exceto feriados, no Departamento de Licitações e Compras, localizado a </w:t>
      </w:r>
      <w:r>
        <w:rPr>
          <w:rFonts w:hint="default" w:ascii="Calibri" w:hAnsi="Calibri" w:cs="Calibri"/>
          <w:sz w:val="21"/>
          <w:szCs w:val="21"/>
          <w:lang w:val="pt-BR"/>
        </w:rPr>
        <w:t>Rua Dr Armando de Salles de Oliveira</w:t>
      </w:r>
      <w:r>
        <w:rPr>
          <w:rFonts w:hint="default" w:ascii="Calibri" w:hAnsi="Calibri" w:cs="Calibri"/>
          <w:sz w:val="21"/>
          <w:szCs w:val="21"/>
        </w:rPr>
        <w:t xml:space="preserve">, </w:t>
      </w:r>
      <w:r>
        <w:rPr>
          <w:rFonts w:hint="default" w:ascii="Calibri" w:hAnsi="Calibri" w:cs="Calibri"/>
          <w:sz w:val="21"/>
          <w:szCs w:val="21"/>
          <w:lang w:val="pt-BR"/>
        </w:rPr>
        <w:t>1085, 3º andar</w:t>
      </w:r>
      <w:r>
        <w:rPr>
          <w:rFonts w:hint="default" w:ascii="Calibri" w:hAnsi="Calibri" w:cs="Calibri"/>
          <w:sz w:val="21"/>
          <w:szCs w:val="21"/>
        </w:rPr>
        <w:t xml:space="preserve">, </w:t>
      </w:r>
      <w:r>
        <w:rPr>
          <w:rFonts w:hint="default" w:ascii="Calibri" w:hAnsi="Calibri" w:cs="Calibri"/>
          <w:sz w:val="21"/>
          <w:szCs w:val="21"/>
          <w:lang w:val="pt-BR"/>
        </w:rPr>
        <w:t>C</w:t>
      </w:r>
      <w:r>
        <w:rPr>
          <w:rFonts w:hint="default" w:ascii="Calibri" w:hAnsi="Calibri" w:cs="Calibri"/>
          <w:sz w:val="21"/>
          <w:szCs w:val="21"/>
        </w:rPr>
        <w:t>entro</w:t>
      </w:r>
      <w:r>
        <w:rPr>
          <w:rFonts w:hint="default" w:ascii="Calibri" w:hAnsi="Calibri" w:cs="Calibri"/>
          <w:sz w:val="21"/>
          <w:szCs w:val="21"/>
          <w:lang w:val="pt-BR"/>
        </w:rPr>
        <w:t>,</w:t>
      </w:r>
      <w:r>
        <w:rPr>
          <w:rFonts w:hint="default" w:ascii="Calibri" w:hAnsi="Calibri" w:cs="Calibri"/>
          <w:sz w:val="21"/>
          <w:szCs w:val="21"/>
        </w:rPr>
        <w:t xml:space="preserve"> Leme</w:t>
      </w:r>
      <w:r>
        <w:rPr>
          <w:rFonts w:hint="default" w:ascii="Calibri" w:hAnsi="Calibri" w:cs="Calibri"/>
          <w:sz w:val="21"/>
          <w:szCs w:val="21"/>
          <w:lang w:val="pt-BR"/>
        </w:rPr>
        <w:t xml:space="preserve"> - </w:t>
      </w:r>
      <w:r>
        <w:rPr>
          <w:rFonts w:hint="default" w:ascii="Calibri" w:hAnsi="Calibri" w:cs="Calibri"/>
          <w:sz w:val="21"/>
          <w:szCs w:val="21"/>
          <w:lang w:val="pt-BR"/>
        </w:rPr>
        <w:sym w:font="Wingdings" w:char="0028"/>
      </w:r>
      <w:r>
        <w:rPr>
          <w:rFonts w:hint="default" w:ascii="Calibri" w:hAnsi="Calibri" w:cs="Calibri"/>
          <w:sz w:val="21"/>
          <w:szCs w:val="21"/>
          <w:lang w:val="pt-BR"/>
        </w:rPr>
        <w:t xml:space="preserve"> fone (19) 30971000.</w:t>
      </w:r>
    </w:p>
    <w:p w14:paraId="52F004D7">
      <w:pPr>
        <w:pStyle w:val="58"/>
        <w:numPr>
          <w:ilvl w:val="1"/>
          <w:numId w:val="0"/>
        </w:numPr>
        <w:tabs>
          <w:tab w:val="left" w:pos="480"/>
        </w:tabs>
        <w:spacing w:after="0"/>
        <w:ind w:left="7" w:leftChars="0" w:hanging="7" w:firstLineChars="0"/>
        <w:rPr>
          <w:rFonts w:asciiTheme="majorHAnsi" w:hAnsiTheme="majorHAnsi" w:cstheme="majorHAnsi"/>
          <w:sz w:val="22"/>
          <w:szCs w:val="22"/>
        </w:rPr>
      </w:pPr>
      <w:r>
        <w:rPr>
          <w:rFonts w:hint="default" w:asciiTheme="majorHAnsi" w:hAnsiTheme="majorHAnsi" w:cstheme="majorHAnsi"/>
          <w:sz w:val="22"/>
          <w:szCs w:val="22"/>
          <w:lang w:val="pt-BR"/>
        </w:rPr>
        <w:t xml:space="preserve">12.17 </w:t>
      </w:r>
      <w:r>
        <w:rPr>
          <w:rFonts w:asciiTheme="majorHAnsi" w:hAnsiTheme="majorHAnsi" w:cstheme="majorHAnsi"/>
          <w:sz w:val="22"/>
          <w:szCs w:val="22"/>
        </w:rPr>
        <w:t>Em caso de divergência entre disposições deste Edital e de seus anexos ou demais peças que compõem o processo, prevalecerá as deste Edital.</w:t>
      </w:r>
    </w:p>
    <w:p w14:paraId="2CD1A084">
      <w:pPr>
        <w:pStyle w:val="58"/>
        <w:numPr>
          <w:ilvl w:val="1"/>
          <w:numId w:val="0"/>
        </w:numPr>
        <w:tabs>
          <w:tab w:val="left" w:pos="480"/>
        </w:tabs>
        <w:spacing w:after="0"/>
        <w:ind w:left="0" w:leftChars="0" w:hanging="7" w:firstLineChars="0"/>
        <w:rPr>
          <w:rFonts w:asciiTheme="majorHAnsi" w:hAnsiTheme="majorHAnsi" w:cstheme="majorHAnsi"/>
          <w:sz w:val="22"/>
          <w:szCs w:val="22"/>
        </w:rPr>
      </w:pPr>
      <w:r>
        <w:rPr>
          <w:rFonts w:hint="default" w:asciiTheme="majorHAnsi" w:hAnsiTheme="majorHAnsi" w:cstheme="majorHAnsi"/>
          <w:sz w:val="22"/>
          <w:szCs w:val="22"/>
          <w:lang w:val="pt-BR"/>
        </w:rPr>
        <w:t xml:space="preserve">12.18 </w:t>
      </w:r>
      <w:r>
        <w:rPr>
          <w:rFonts w:asciiTheme="majorHAnsi" w:hAnsiTheme="majorHAnsi" w:cstheme="majorHAnsi"/>
          <w:sz w:val="22"/>
          <w:szCs w:val="22"/>
        </w:rPr>
        <w:t xml:space="preserve">O Edital e seus anexos </w:t>
      </w:r>
      <w:r>
        <w:rPr>
          <w:rFonts w:asciiTheme="majorHAnsi" w:hAnsiTheme="majorHAnsi" w:cstheme="majorHAnsi"/>
          <w:color w:val="auto"/>
          <w:sz w:val="22"/>
          <w:szCs w:val="22"/>
        </w:rPr>
        <w:t xml:space="preserve">estão disponíveis, na íntegra, no Portal Nacional de Contratações Públicas (PNCP) e </w:t>
      </w:r>
      <w:r>
        <w:rPr>
          <w:rFonts w:hint="default" w:asciiTheme="majorHAnsi" w:hAnsiTheme="majorHAnsi" w:cstheme="majorHAnsi"/>
          <w:color w:val="auto"/>
          <w:sz w:val="22"/>
          <w:szCs w:val="22"/>
          <w:lang w:val="pt-BR"/>
        </w:rPr>
        <w:t xml:space="preserve">nos </w:t>
      </w:r>
      <w:r>
        <w:rPr>
          <w:rFonts w:asciiTheme="majorHAnsi" w:hAnsiTheme="majorHAnsi" w:cstheme="majorHAnsi"/>
          <w:color w:val="auto"/>
          <w:sz w:val="22"/>
          <w:szCs w:val="22"/>
        </w:rPr>
        <w:t>endereço</w:t>
      </w:r>
      <w:r>
        <w:rPr>
          <w:rFonts w:hint="default" w:asciiTheme="majorHAnsi" w:hAnsiTheme="majorHAnsi" w:cstheme="majorHAnsi"/>
          <w:color w:val="auto"/>
          <w:sz w:val="22"/>
          <w:szCs w:val="22"/>
          <w:lang w:val="pt-BR"/>
        </w:rPr>
        <w:t>s</w:t>
      </w:r>
      <w:r>
        <w:rPr>
          <w:rFonts w:asciiTheme="majorHAnsi" w:hAnsiTheme="majorHAnsi" w:cstheme="majorHAnsi"/>
          <w:color w:val="auto"/>
          <w:sz w:val="22"/>
          <w:szCs w:val="22"/>
        </w:rPr>
        <w:t xml:space="preserve"> eletrô</w:t>
      </w:r>
      <w:r>
        <w:rPr>
          <w:rFonts w:asciiTheme="majorHAnsi" w:hAnsiTheme="majorHAnsi" w:cstheme="majorHAnsi"/>
          <w:sz w:val="22"/>
          <w:szCs w:val="22"/>
        </w:rPr>
        <w:t>nico</w:t>
      </w:r>
      <w:r>
        <w:rPr>
          <w:rFonts w:hint="default" w:asciiTheme="majorHAnsi" w:hAnsiTheme="majorHAnsi" w:cstheme="majorHAnsi"/>
          <w:sz w:val="22"/>
          <w:szCs w:val="22"/>
          <w:lang w:val="pt-BR"/>
        </w:rPr>
        <w:t>s:</w:t>
      </w:r>
      <w:r>
        <w:rPr>
          <w:rFonts w:asciiTheme="majorHAnsi" w:hAnsiTheme="majorHAnsi" w:cstheme="majorHAnsi"/>
          <w:sz w:val="22"/>
          <w:szCs w:val="22"/>
        </w:rPr>
        <w:t xml:space="preserve"> </w:t>
      </w:r>
      <w:r>
        <w:rPr>
          <w:rFonts w:hint="default" w:asciiTheme="majorHAnsi" w:hAnsiTheme="majorHAnsi" w:cstheme="majorHAnsi"/>
          <w:sz w:val="22"/>
          <w:szCs w:val="22"/>
          <w:lang w:val="pt-BR"/>
        </w:rPr>
        <w:fldChar w:fldCharType="begin"/>
      </w:r>
      <w:r>
        <w:rPr>
          <w:rFonts w:hint="default" w:asciiTheme="majorHAnsi" w:hAnsiTheme="majorHAnsi" w:cstheme="majorHAnsi"/>
          <w:sz w:val="22"/>
          <w:szCs w:val="22"/>
          <w:lang w:val="pt-BR"/>
        </w:rPr>
        <w:instrText xml:space="preserve"> HYPERLINK "http://www.leme.sp.gov.br," </w:instrText>
      </w:r>
      <w:r>
        <w:rPr>
          <w:rFonts w:hint="default" w:asciiTheme="majorHAnsi" w:hAnsiTheme="majorHAnsi" w:cstheme="majorHAnsi"/>
          <w:sz w:val="22"/>
          <w:szCs w:val="22"/>
          <w:lang w:val="pt-BR"/>
        </w:rPr>
        <w:fldChar w:fldCharType="separate"/>
      </w:r>
      <w:r>
        <w:rPr>
          <w:rStyle w:val="13"/>
          <w:rFonts w:hint="default" w:asciiTheme="majorHAnsi" w:hAnsiTheme="majorHAnsi" w:cstheme="majorHAnsi"/>
          <w:sz w:val="22"/>
          <w:szCs w:val="22"/>
          <w:lang w:val="pt-BR"/>
        </w:rPr>
        <w:t>www.leme.sp.gov.br,</w:t>
      </w:r>
      <w:r>
        <w:rPr>
          <w:rFonts w:hint="default" w:asciiTheme="majorHAnsi" w:hAnsiTheme="majorHAnsi" w:cstheme="majorHAnsi"/>
          <w:sz w:val="22"/>
          <w:szCs w:val="22"/>
          <w:lang w:val="pt-BR"/>
        </w:rPr>
        <w:fldChar w:fldCharType="end"/>
      </w:r>
      <w:r>
        <w:rPr>
          <w:rFonts w:hint="default" w:asciiTheme="majorHAnsi" w:hAnsiTheme="majorHAnsi" w:cstheme="majorHAnsi"/>
          <w:sz w:val="22"/>
          <w:szCs w:val="22"/>
          <w:lang w:val="pt-BR"/>
        </w:rPr>
        <w:t xml:space="preserve"> e </w:t>
      </w:r>
      <w:r>
        <w:fldChar w:fldCharType="begin"/>
      </w:r>
      <w:r>
        <w:instrText xml:space="preserve"> HYPERLINK "http://www.novobbmnet.com.br" </w:instrText>
      </w:r>
      <w:r>
        <w:fldChar w:fldCharType="separate"/>
      </w:r>
      <w:r>
        <w:rPr>
          <w:rStyle w:val="13"/>
          <w:rFonts w:asciiTheme="majorHAnsi" w:hAnsiTheme="majorHAnsi" w:cstheme="majorHAnsi"/>
          <w:sz w:val="22"/>
          <w:szCs w:val="22"/>
        </w:rPr>
        <w:t>www.novobbmnet.com.br</w:t>
      </w:r>
      <w:r>
        <w:rPr>
          <w:rStyle w:val="13"/>
          <w:rFonts w:asciiTheme="majorHAnsi" w:hAnsiTheme="majorHAnsi" w:cstheme="majorHAnsi"/>
          <w:sz w:val="22"/>
          <w:szCs w:val="22"/>
        </w:rPr>
        <w:fldChar w:fldCharType="end"/>
      </w:r>
      <w:r>
        <w:rPr>
          <w:rFonts w:asciiTheme="majorHAnsi" w:hAnsiTheme="majorHAnsi" w:cstheme="majorHAnsi"/>
          <w:sz w:val="22"/>
          <w:szCs w:val="22"/>
        </w:rPr>
        <w:t>.</w:t>
      </w:r>
    </w:p>
    <w:p w14:paraId="57C8E40C">
      <w:pPr>
        <w:pStyle w:val="58"/>
        <w:numPr>
          <w:ilvl w:val="1"/>
          <w:numId w:val="0"/>
        </w:numPr>
        <w:tabs>
          <w:tab w:val="left" w:pos="480"/>
        </w:tabs>
        <w:spacing w:after="0"/>
        <w:ind w:left="0" w:leftChars="0" w:hanging="7" w:firstLineChars="0"/>
        <w:rPr>
          <w:rFonts w:hint="default" w:ascii="Calibri" w:hAnsi="Calibri" w:cs="Calibri"/>
          <w:sz w:val="22"/>
          <w:szCs w:val="22"/>
          <w:lang w:val="pt-BR"/>
        </w:rPr>
      </w:pPr>
      <w:r>
        <w:rPr>
          <w:rFonts w:hint="default" w:ascii="Calibri" w:hAnsi="Calibri" w:cs="Calibri"/>
          <w:sz w:val="22"/>
          <w:szCs w:val="22"/>
          <w:lang w:val="pt-BR"/>
        </w:rPr>
        <w:t>12.19. O foro competente para dirimir quaisquer questões acerca do presente é o de Leme/SP.</w:t>
      </w:r>
    </w:p>
    <w:p w14:paraId="4778817B">
      <w:pPr>
        <w:pStyle w:val="58"/>
        <w:numPr>
          <w:ilvl w:val="1"/>
          <w:numId w:val="0"/>
        </w:numPr>
        <w:tabs>
          <w:tab w:val="left" w:pos="480"/>
        </w:tabs>
        <w:spacing w:after="0"/>
        <w:ind w:left="0" w:leftChars="0" w:hanging="7" w:firstLineChars="0"/>
        <w:rPr>
          <w:rFonts w:eastAsia="Times New Roman" w:asciiTheme="majorHAnsi" w:hAnsiTheme="majorHAnsi" w:cstheme="majorHAnsi"/>
          <w:sz w:val="22"/>
          <w:szCs w:val="22"/>
        </w:rPr>
      </w:pPr>
      <w:r>
        <w:rPr>
          <w:rFonts w:hint="default" w:asciiTheme="majorHAnsi" w:hAnsiTheme="majorHAnsi" w:cstheme="majorHAnsi"/>
          <w:sz w:val="22"/>
          <w:szCs w:val="22"/>
          <w:lang w:val="pt-BR"/>
        </w:rPr>
        <w:t xml:space="preserve">12.20 </w:t>
      </w:r>
      <w:r>
        <w:rPr>
          <w:rFonts w:asciiTheme="majorHAnsi" w:hAnsiTheme="majorHAnsi" w:cstheme="majorHAnsi"/>
          <w:sz w:val="22"/>
          <w:szCs w:val="22"/>
        </w:rPr>
        <w:t>Integram este Edital, para todos os fins e efeitos, os seguintes anexos:</w:t>
      </w:r>
    </w:p>
    <w:p w14:paraId="41EDA691">
      <w:pPr>
        <w:pStyle w:val="60"/>
        <w:numPr>
          <w:ilvl w:val="2"/>
          <w:numId w:val="0"/>
        </w:numPr>
        <w:spacing w:after="0" w:line="360" w:lineRule="auto"/>
        <w:ind w:left="567" w:leftChars="0"/>
        <w:rPr>
          <w:rFonts w:asciiTheme="majorHAnsi" w:hAnsiTheme="majorHAnsi" w:cstheme="majorHAnsi"/>
          <w:sz w:val="22"/>
          <w:szCs w:val="22"/>
          <w:highlight w:val="green"/>
        </w:rPr>
      </w:pPr>
    </w:p>
    <w:p w14:paraId="79577613">
      <w:pPr>
        <w:pStyle w:val="60"/>
        <w:numPr>
          <w:ilvl w:val="2"/>
          <w:numId w:val="0"/>
        </w:numPr>
        <w:spacing w:after="0" w:line="360" w:lineRule="auto"/>
        <w:ind w:left="567" w:leftChars="0"/>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pPr>
      <w:r>
        <w:rPr>
          <w:rFonts w:asciiTheme="majorHAnsi" w:hAnsiTheme="majorHAnsi" w:cstheme="majorHAnsi"/>
          <w:color w:val="0D0D0D" w:themeColor="text1" w:themeTint="F2"/>
          <w:sz w:val="22"/>
          <w:szCs w:val="22"/>
          <w:highlight w:val="cyan"/>
          <w14:textFill>
            <w14:solidFill>
              <w14:schemeClr w14:val="tx1">
                <w14:lumMod w14:val="95000"/>
                <w14:lumOff w14:val="5000"/>
              </w14:schemeClr>
            </w14:solidFill>
          </w14:textFill>
        </w:rPr>
        <w:t>ANEXO I - Termo de Referência</w:t>
      </w:r>
      <w:r>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t>/Memorial Descritivo/Planilha Orçamentária</w:t>
      </w:r>
    </w:p>
    <w:p w14:paraId="0485199B">
      <w:pPr>
        <w:pStyle w:val="60"/>
        <w:numPr>
          <w:ilvl w:val="2"/>
          <w:numId w:val="0"/>
        </w:numPr>
        <w:spacing w:after="0" w:line="360" w:lineRule="auto"/>
        <w:ind w:left="567" w:leftChars="0"/>
        <w:rPr>
          <w:rFonts w:asciiTheme="majorHAnsi" w:hAnsiTheme="majorHAnsi" w:cstheme="majorHAnsi"/>
          <w:color w:val="0D0D0D" w:themeColor="text1" w:themeTint="F2"/>
          <w:sz w:val="22"/>
          <w:szCs w:val="22"/>
          <w:highlight w:val="cyan"/>
          <w14:textFill>
            <w14:solidFill>
              <w14:schemeClr w14:val="tx1">
                <w14:lumMod w14:val="95000"/>
                <w14:lumOff w14:val="5000"/>
              </w14:schemeClr>
            </w14:solidFill>
          </w14:textFill>
        </w:rPr>
      </w:pPr>
      <w:r>
        <w:rPr>
          <w:rFonts w:asciiTheme="majorHAnsi" w:hAnsiTheme="majorHAnsi" w:cstheme="majorHAnsi"/>
          <w:color w:val="0D0D0D" w:themeColor="text1" w:themeTint="F2"/>
          <w:sz w:val="22"/>
          <w:szCs w:val="22"/>
          <w:highlight w:val="cyan"/>
          <w14:textFill>
            <w14:solidFill>
              <w14:schemeClr w14:val="tx1">
                <w14:lumMod w14:val="95000"/>
                <w14:lumOff w14:val="5000"/>
              </w14:schemeClr>
            </w14:solidFill>
          </w14:textFill>
        </w:rPr>
        <w:t>ANEXO II – Minuta d</w:t>
      </w:r>
      <w:r>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t xml:space="preserve">a Ata de Registro de Preços </w:t>
      </w:r>
      <w:r>
        <w:rPr>
          <w:rFonts w:asciiTheme="majorHAnsi" w:hAnsiTheme="majorHAnsi" w:cstheme="majorHAnsi"/>
          <w:color w:val="0D0D0D" w:themeColor="text1" w:themeTint="F2"/>
          <w:sz w:val="22"/>
          <w:szCs w:val="22"/>
          <w:highlight w:val="cyan"/>
          <w14:textFill>
            <w14:solidFill>
              <w14:schemeClr w14:val="tx1">
                <w14:lumMod w14:val="95000"/>
                <w14:lumOff w14:val="5000"/>
              </w14:schemeClr>
            </w14:solidFill>
          </w14:textFill>
        </w:rPr>
        <w:t xml:space="preserve">e </w:t>
      </w:r>
      <w:r>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t>documento de contratação (</w:t>
      </w:r>
      <w:r>
        <w:rPr>
          <w:rFonts w:asciiTheme="majorHAnsi" w:hAnsiTheme="majorHAnsi" w:cstheme="majorHAnsi"/>
          <w:color w:val="0D0D0D" w:themeColor="text1" w:themeTint="F2"/>
          <w:sz w:val="22"/>
          <w:szCs w:val="22"/>
          <w:highlight w:val="cyan"/>
          <w14:textFill>
            <w14:solidFill>
              <w14:schemeClr w14:val="tx1">
                <w14:lumMod w14:val="95000"/>
                <w14:lumOff w14:val="5000"/>
              </w14:schemeClr>
            </w14:solidFill>
          </w14:textFill>
        </w:rPr>
        <w:t>Termo de Contrato</w:t>
      </w:r>
      <w:r>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t xml:space="preserve"> ou instrumento equivalente (art.95, Lei 14.133/21)</w:t>
      </w:r>
      <w:r>
        <w:rPr>
          <w:rFonts w:asciiTheme="majorHAnsi" w:hAnsiTheme="majorHAnsi" w:cstheme="majorHAnsi"/>
          <w:color w:val="0D0D0D" w:themeColor="text1" w:themeTint="F2"/>
          <w:sz w:val="22"/>
          <w:szCs w:val="22"/>
          <w:highlight w:val="cyan"/>
          <w14:textFill>
            <w14:solidFill>
              <w14:schemeClr w14:val="tx1">
                <w14:lumMod w14:val="95000"/>
                <w14:lumOff w14:val="5000"/>
              </w14:schemeClr>
            </w14:solidFill>
          </w14:textFill>
        </w:rPr>
        <w:t>.</w:t>
      </w:r>
    </w:p>
    <w:p w14:paraId="25CEDEA1">
      <w:pPr>
        <w:pStyle w:val="60"/>
        <w:numPr>
          <w:ilvl w:val="2"/>
          <w:numId w:val="0"/>
        </w:numPr>
        <w:spacing w:after="0" w:line="360" w:lineRule="auto"/>
        <w:ind w:left="567" w:leftChars="0"/>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pPr>
      <w:r>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t>ANEXO III - Exigências para habilitação</w:t>
      </w:r>
    </w:p>
    <w:p w14:paraId="65094522">
      <w:pPr>
        <w:pStyle w:val="60"/>
        <w:numPr>
          <w:ilvl w:val="2"/>
          <w:numId w:val="0"/>
        </w:numPr>
        <w:spacing w:after="0" w:line="360" w:lineRule="auto"/>
        <w:ind w:left="567" w:leftChars="0"/>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pPr>
      <w:r>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t>ANEXO IV - Decreto 8.163, de 21/08/23</w:t>
      </w:r>
    </w:p>
    <w:p w14:paraId="4C78D11B">
      <w:pPr>
        <w:pStyle w:val="60"/>
        <w:numPr>
          <w:ilvl w:val="2"/>
          <w:numId w:val="0"/>
        </w:numPr>
        <w:spacing w:after="0" w:line="360" w:lineRule="auto"/>
        <w:ind w:left="567" w:leftChars="0"/>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pPr>
      <w:r>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t>ANEXO V - Modelo de declaração de fato superveniente impeditivo de habilitação</w:t>
      </w:r>
    </w:p>
    <w:p w14:paraId="7E4200C1">
      <w:pPr>
        <w:pStyle w:val="60"/>
        <w:numPr>
          <w:ilvl w:val="2"/>
          <w:numId w:val="0"/>
        </w:numPr>
        <w:spacing w:after="0" w:line="360" w:lineRule="auto"/>
        <w:ind w:left="567" w:leftChars="0"/>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pPr>
      <w:r>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t>ANEXO VI - Modelos de declarações</w:t>
      </w:r>
    </w:p>
    <w:p w14:paraId="74DFFCA3">
      <w:pPr>
        <w:pStyle w:val="60"/>
        <w:numPr>
          <w:ilvl w:val="2"/>
          <w:numId w:val="0"/>
        </w:numPr>
        <w:spacing w:after="0" w:line="360" w:lineRule="auto"/>
        <w:ind w:left="567" w:leftChars="0"/>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pPr>
      <w:r>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t xml:space="preserve">ANEXO VII - Cartas-proposta </w:t>
      </w:r>
    </w:p>
    <w:p w14:paraId="1F36145D">
      <w:pPr>
        <w:pStyle w:val="60"/>
        <w:numPr>
          <w:ilvl w:val="2"/>
          <w:numId w:val="0"/>
        </w:numPr>
        <w:spacing w:after="0" w:line="360" w:lineRule="auto"/>
        <w:ind w:left="567" w:leftChars="0"/>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pPr>
      <w:r>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t>ANEXO VIII - Modelo de declaração de enquadramento em regime de microempresa ou empresa de pequeno porte (na hipótese de se enquadrar nestas situações)</w:t>
      </w:r>
    </w:p>
    <w:p w14:paraId="02286EFB">
      <w:pPr>
        <w:pStyle w:val="60"/>
        <w:numPr>
          <w:ilvl w:val="2"/>
          <w:numId w:val="0"/>
        </w:numPr>
        <w:spacing w:after="0" w:line="360" w:lineRule="auto"/>
        <w:ind w:left="567" w:leftChars="0"/>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pPr>
      <w:r>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t>ANEXO IX - Modelo de Ficha Técnica descritiva do objeto</w:t>
      </w:r>
    </w:p>
    <w:p w14:paraId="3CF7F8D6">
      <w:pPr>
        <w:pStyle w:val="60"/>
        <w:numPr>
          <w:ilvl w:val="2"/>
          <w:numId w:val="0"/>
        </w:numPr>
        <w:spacing w:after="0" w:line="360" w:lineRule="auto"/>
        <w:ind w:left="567" w:leftChars="0"/>
        <w:rPr>
          <w:rFonts w:hint="default" w:asciiTheme="majorHAnsi" w:hAnsiTheme="majorHAnsi" w:cstheme="majorHAnsi"/>
          <w:color w:val="0D0D0D" w:themeColor="text1" w:themeTint="F2"/>
          <w:sz w:val="22"/>
          <w:szCs w:val="22"/>
          <w:highlight w:val="magenta"/>
          <w:lang w:val="pt-BR"/>
          <w14:textFill>
            <w14:solidFill>
              <w14:schemeClr w14:val="tx1">
                <w14:lumMod w14:val="95000"/>
                <w14:lumOff w14:val="5000"/>
              </w14:schemeClr>
            </w14:solidFill>
          </w14:textFill>
        </w:rPr>
      </w:pPr>
      <w:r>
        <w:rPr>
          <w:rFonts w:hint="default" w:asciiTheme="majorHAnsi" w:hAnsiTheme="majorHAnsi" w:cstheme="majorHAnsi"/>
          <w:color w:val="0D0D0D" w:themeColor="text1" w:themeTint="F2"/>
          <w:sz w:val="22"/>
          <w:szCs w:val="22"/>
          <w:highlight w:val="cyan"/>
          <w:lang w:val="pt-BR"/>
          <w14:textFill>
            <w14:solidFill>
              <w14:schemeClr w14:val="tx1">
                <w14:lumMod w14:val="95000"/>
                <w14:lumOff w14:val="5000"/>
              </w14:schemeClr>
            </w14:solidFill>
          </w14:textFill>
        </w:rPr>
        <w:t xml:space="preserve">ANEXO X - Regulamento do Sistema Eletrônico de Licitações  </w:t>
      </w:r>
    </w:p>
    <w:p w14:paraId="7E613031">
      <w:pPr>
        <w:spacing w:before="120" w:line="276" w:lineRule="auto"/>
        <w:ind w:firstLine="567"/>
        <w:rPr>
          <w:rFonts w:hint="default" w:eastAsia="MS Mincho" w:asciiTheme="majorHAnsi" w:hAnsiTheme="majorHAnsi" w:cstheme="majorHAnsi"/>
          <w:sz w:val="22"/>
          <w:szCs w:val="22"/>
          <w:lang w:val="pt-BR"/>
        </w:rPr>
      </w:pPr>
    </w:p>
    <w:p w14:paraId="6B0B2305">
      <w:pPr>
        <w:spacing w:before="120" w:line="276" w:lineRule="auto"/>
        <w:ind w:firstLine="567"/>
        <w:rPr>
          <w:rFonts w:hint="default" w:eastAsia="MS Mincho" w:asciiTheme="majorHAnsi" w:hAnsiTheme="majorHAnsi" w:cstheme="majorHAnsi"/>
          <w:sz w:val="22"/>
          <w:szCs w:val="22"/>
          <w:lang w:val="pt-BR"/>
        </w:rPr>
      </w:pPr>
      <w:r>
        <w:rPr>
          <w:rFonts w:hint="default" w:eastAsia="MS Mincho" w:asciiTheme="majorHAnsi" w:hAnsiTheme="majorHAnsi" w:cstheme="majorHAnsi"/>
          <w:sz w:val="22"/>
          <w:szCs w:val="22"/>
          <w:lang w:val="pt-BR"/>
        </w:rPr>
        <w:t>Leme</w:t>
      </w:r>
      <w:r>
        <w:rPr>
          <w:rFonts w:eastAsia="MS Mincho" w:asciiTheme="majorHAnsi" w:hAnsiTheme="majorHAnsi" w:cstheme="majorHAnsi"/>
          <w:sz w:val="22"/>
          <w:szCs w:val="22"/>
        </w:rPr>
        <w:t xml:space="preserve"> , </w:t>
      </w:r>
      <w:r>
        <w:rPr>
          <w:rFonts w:hint="default" w:eastAsia="MS Mincho" w:asciiTheme="majorHAnsi" w:hAnsiTheme="majorHAnsi" w:cstheme="majorHAnsi"/>
          <w:sz w:val="22"/>
          <w:szCs w:val="22"/>
          <w:lang w:val="pt-BR"/>
        </w:rPr>
        <w:t>06</w:t>
      </w:r>
      <w:r>
        <w:rPr>
          <w:rFonts w:eastAsia="MS Mincho" w:asciiTheme="majorHAnsi" w:hAnsiTheme="majorHAnsi" w:cstheme="majorHAnsi"/>
          <w:sz w:val="22"/>
          <w:szCs w:val="22"/>
        </w:rPr>
        <w:t xml:space="preserve"> de</w:t>
      </w:r>
      <w:r>
        <w:rPr>
          <w:rFonts w:hint="default" w:eastAsia="MS Mincho" w:asciiTheme="majorHAnsi" w:hAnsiTheme="majorHAnsi" w:cstheme="majorHAnsi"/>
          <w:sz w:val="22"/>
          <w:szCs w:val="22"/>
          <w:lang w:val="pt-BR"/>
        </w:rPr>
        <w:t xml:space="preserve"> fevereiro</w:t>
      </w:r>
      <w:r>
        <w:rPr>
          <w:rFonts w:eastAsia="MS Mincho" w:asciiTheme="majorHAnsi" w:hAnsiTheme="majorHAnsi" w:cstheme="majorHAnsi"/>
          <w:sz w:val="22"/>
          <w:szCs w:val="22"/>
        </w:rPr>
        <w:t xml:space="preserve"> de </w:t>
      </w:r>
      <w:r>
        <w:rPr>
          <w:rFonts w:eastAsia="MS Mincho" w:asciiTheme="majorHAnsi" w:hAnsiTheme="majorHAnsi" w:cstheme="majorHAnsi"/>
          <w:sz w:val="22"/>
          <w:szCs w:val="22"/>
          <w:lang w:val="pt-BR"/>
        </w:rPr>
        <w:t>202</w:t>
      </w:r>
      <w:r>
        <w:rPr>
          <w:rFonts w:hint="default" w:eastAsia="MS Mincho" w:asciiTheme="majorHAnsi" w:hAnsiTheme="majorHAnsi" w:cstheme="majorHAnsi"/>
          <w:sz w:val="22"/>
          <w:szCs w:val="22"/>
          <w:lang w:val="pt-BR"/>
        </w:rPr>
        <w:t>5</w:t>
      </w:r>
    </w:p>
    <w:bookmarkEnd w:id="29"/>
    <w:p w14:paraId="65204BC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Calibri" w:hAnsi="Calibri" w:cs="Calibri"/>
          <w:b/>
          <w:bCs/>
          <w:sz w:val="22"/>
          <w:szCs w:val="22"/>
        </w:rPr>
      </w:pPr>
    </w:p>
    <w:p w14:paraId="56EFCD3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Calibri" w:hAnsi="Calibri" w:cs="Calibri"/>
          <w:b/>
          <w:bCs/>
          <w:sz w:val="22"/>
          <w:szCs w:val="22"/>
        </w:rPr>
      </w:pPr>
    </w:p>
    <w:p w14:paraId="5F38D46D">
      <w:pPr>
        <w:pStyle w:val="131"/>
        <w:widowControl/>
        <w:spacing w:line="300" w:lineRule="atLeast"/>
        <w:jc w:val="center"/>
        <w:rPr>
          <w:rFonts w:hint="default" w:ascii="Calibri" w:hAnsi="Calibri"/>
          <w:b/>
          <w:bCs/>
          <w:sz w:val="20"/>
          <w:szCs w:val="20"/>
          <w:lang w:val="pt-BR"/>
        </w:rPr>
      </w:pPr>
      <w:r>
        <w:rPr>
          <w:rFonts w:hint="default" w:ascii="Calibri" w:hAnsi="Calibri"/>
          <w:b/>
          <w:bCs/>
          <w:sz w:val="20"/>
          <w:szCs w:val="20"/>
          <w:lang w:val="pt-BR"/>
        </w:rPr>
        <w:t>JOSIANE CRISTINA FRANCISCO PIETRO</w:t>
      </w:r>
    </w:p>
    <w:p w14:paraId="34C4D71F">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Calibri" w:hAnsi="Calibri"/>
          <w:b w:val="0"/>
          <w:bCs w:val="0"/>
          <w:sz w:val="20"/>
          <w:szCs w:val="20"/>
          <w:lang w:val="pt-BR"/>
        </w:rPr>
      </w:pPr>
      <w:r>
        <w:rPr>
          <w:rFonts w:hint="default" w:ascii="Calibri" w:hAnsi="Calibri"/>
          <w:b w:val="0"/>
          <w:bCs w:val="0"/>
          <w:sz w:val="20"/>
          <w:szCs w:val="20"/>
          <w:lang w:val="pt-BR"/>
        </w:rPr>
        <w:t>SECRETARIA DE ASSISTÊNCIA E DESENVOLVIMENTO SOCIAL</w:t>
      </w:r>
    </w:p>
    <w:p w14:paraId="4E4B7D4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MS Mincho" w:asciiTheme="majorHAnsi" w:hAnsiTheme="majorHAnsi" w:cstheme="majorHAnsi"/>
          <w:b/>
          <w:bCs/>
          <w:sz w:val="22"/>
          <w:szCs w:val="22"/>
          <w:lang w:val="pt-BR"/>
        </w:rPr>
      </w:pPr>
      <w:r>
        <w:rPr>
          <w:rFonts w:hint="default" w:eastAsia="MS Mincho" w:asciiTheme="majorHAnsi" w:hAnsiTheme="majorHAnsi" w:cstheme="majorHAnsi"/>
          <w:b/>
          <w:bCs/>
          <w:sz w:val="22"/>
          <w:szCs w:val="22"/>
          <w:lang w:val="pt-BR"/>
        </w:rPr>
        <w:t>ÓRGÃO GERENCIADOR</w:t>
      </w:r>
    </w:p>
    <w:p w14:paraId="6A5E2CF6">
      <w:pPr>
        <w:rPr>
          <w:rFonts w:hint="default" w:eastAsia="MS Mincho" w:asciiTheme="majorHAnsi" w:hAnsiTheme="majorHAnsi" w:cstheme="majorHAnsi"/>
          <w:b/>
          <w:bCs/>
          <w:sz w:val="22"/>
          <w:szCs w:val="22"/>
          <w:lang w:val="pt-BR"/>
        </w:rPr>
      </w:pPr>
      <w:r>
        <w:rPr>
          <w:rFonts w:hint="default" w:eastAsia="MS Mincho" w:asciiTheme="majorHAnsi" w:hAnsiTheme="majorHAnsi" w:cstheme="majorHAnsi"/>
          <w:b/>
          <w:bCs/>
          <w:sz w:val="22"/>
          <w:szCs w:val="22"/>
          <w:lang w:val="pt-BR"/>
        </w:rPr>
        <w:br w:type="page"/>
      </w:r>
    </w:p>
    <w:p w14:paraId="3739C030">
      <w:pPr>
        <w:pStyle w:val="131"/>
        <w:widowControl/>
        <w:spacing w:line="300" w:lineRule="atLeast"/>
        <w:jc w:val="center"/>
        <w:rPr>
          <w:rFonts w:hint="default" w:ascii="Calibri" w:hAnsi="Calibri" w:cs="Calibri"/>
          <w:b/>
          <w:bCs/>
          <w:sz w:val="21"/>
          <w:szCs w:val="21"/>
          <w:lang w:val="pt-BR"/>
        </w:rPr>
      </w:pPr>
      <w:r>
        <w:rPr>
          <w:rFonts w:hint="default" w:ascii="Calibri" w:hAnsi="Calibri" w:cs="Calibri"/>
          <w:b/>
          <w:bCs/>
          <w:sz w:val="21"/>
          <w:szCs w:val="21"/>
          <w:lang w:val="pt-BR"/>
        </w:rPr>
        <w:t xml:space="preserve">ANEXO IA  </w:t>
      </w:r>
    </w:p>
    <w:p w14:paraId="0779D1D8">
      <w:pPr>
        <w:pStyle w:val="131"/>
        <w:widowControl/>
        <w:spacing w:line="300" w:lineRule="atLeast"/>
        <w:jc w:val="center"/>
        <w:rPr>
          <w:rFonts w:hint="default" w:ascii="Calibri" w:hAnsi="Calibri" w:cs="Calibri"/>
          <w:b/>
          <w:bCs/>
          <w:sz w:val="21"/>
          <w:szCs w:val="21"/>
          <w:highlight w:val="cyan"/>
          <w:lang w:val="pt-BR"/>
        </w:rPr>
      </w:pPr>
      <w:r>
        <w:rPr>
          <w:rFonts w:asciiTheme="majorHAnsi" w:hAnsiTheme="majorHAnsi" w:cstheme="majorHAnsi"/>
          <w:b/>
          <w:bCs/>
          <w:sz w:val="22"/>
          <w:szCs w:val="22"/>
          <w:highlight w:val="cyan"/>
        </w:rPr>
        <w:t>TERMO DE REFERÊNCIA</w:t>
      </w:r>
      <w:r>
        <w:rPr>
          <w:rFonts w:hint="default" w:asciiTheme="majorHAnsi" w:hAnsiTheme="majorHAnsi" w:cstheme="majorHAnsi"/>
          <w:b/>
          <w:bCs/>
          <w:sz w:val="22"/>
          <w:szCs w:val="22"/>
          <w:highlight w:val="cyan"/>
          <w:lang w:val="pt-BR"/>
        </w:rPr>
        <w:t>/MEMORIAL DESCRITIVO/PLANILHA ORÇAMENTÁRIA</w:t>
      </w:r>
    </w:p>
    <w:p w14:paraId="638B3093">
      <w:pPr>
        <w:jc w:val="center"/>
        <w:rPr>
          <w:rFonts w:hint="default" w:ascii="Calibri" w:hAnsi="Calibri" w:cs="Calibri"/>
          <w:b/>
          <w:bCs/>
          <w:sz w:val="21"/>
          <w:szCs w:val="21"/>
          <w:lang w:val="pt-BR"/>
        </w:rPr>
      </w:pPr>
      <w:r>
        <w:rPr>
          <w:rFonts w:hint="default" w:ascii="Calibri" w:hAnsi="Calibri" w:cs="Calibri"/>
          <w:b/>
          <w:bCs/>
          <w:sz w:val="21"/>
          <w:szCs w:val="21"/>
          <w:lang w:val="pt-BR"/>
        </w:rPr>
        <w:t xml:space="preserve">PREGÃO ELETRONICO </w:t>
      </w:r>
      <w:r>
        <w:rPr>
          <w:rFonts w:hint="default" w:ascii="Calibri" w:hAnsi="Calibri" w:cs="Calibri"/>
          <w:b/>
          <w:bCs/>
          <w:sz w:val="21"/>
          <w:szCs w:val="21"/>
        </w:rPr>
        <w:t>Nº</w:t>
      </w:r>
      <w:r>
        <w:rPr>
          <w:rFonts w:hint="default" w:ascii="Calibri" w:hAnsi="Calibri" w:cs="Calibri"/>
          <w:b/>
          <w:bCs/>
          <w:sz w:val="21"/>
          <w:szCs w:val="21"/>
          <w:lang w:val="pt-BR"/>
        </w:rPr>
        <w:t xml:space="preserve"> 005/</w:t>
      </w:r>
      <w:r>
        <w:rPr>
          <w:rFonts w:hint="default" w:ascii="Calibri" w:hAnsi="Calibri" w:cs="Calibri"/>
          <w:b/>
          <w:bCs/>
          <w:sz w:val="21"/>
          <w:szCs w:val="21"/>
        </w:rPr>
        <w:t>20</w:t>
      </w:r>
      <w:r>
        <w:rPr>
          <w:rFonts w:hint="default" w:ascii="Calibri" w:hAnsi="Calibri" w:cs="Calibri"/>
          <w:b/>
          <w:bCs/>
          <w:sz w:val="21"/>
          <w:szCs w:val="21"/>
          <w:lang w:val="pt-BR"/>
        </w:rPr>
        <w:t>25</w:t>
      </w:r>
    </w:p>
    <w:p w14:paraId="03FDBF37">
      <w:pPr>
        <w:keepLines/>
        <w:jc w:val="center"/>
        <w:rPr>
          <w:rFonts w:hint="default" w:ascii="Calibri" w:hAnsi="Calibri" w:cs="Calibri"/>
          <w:b/>
          <w:bCs/>
          <w:sz w:val="21"/>
          <w:szCs w:val="21"/>
        </w:rPr>
      </w:pPr>
      <w:r>
        <w:rPr>
          <w:rFonts w:hint="default" w:ascii="Calibri" w:hAnsi="Calibri" w:cs="Calibri"/>
          <w:sz w:val="21"/>
          <w:szCs w:val="21"/>
        </w:rPr>
        <w:t xml:space="preserve">TIPO: </w:t>
      </w:r>
      <w:r>
        <w:rPr>
          <w:rFonts w:hint="default" w:ascii="Calibri" w:hAnsi="Calibri" w:cs="Calibri"/>
          <w:b/>
          <w:bCs/>
          <w:sz w:val="21"/>
          <w:szCs w:val="21"/>
        </w:rPr>
        <w:t>MENOR PREÇO GLOBAL POR LOTE</w:t>
      </w:r>
    </w:p>
    <w:p w14:paraId="54485350">
      <w:pPr>
        <w:pStyle w:val="130"/>
        <w:spacing w:line="300" w:lineRule="atLeast"/>
        <w:ind w:left="30" w:right="-48" w:hanging="4"/>
        <w:rPr>
          <w:rFonts w:hint="default" w:ascii="Calibri" w:hAnsi="Calibri" w:cs="Calibri"/>
          <w:b/>
          <w:bCs w:val="0"/>
          <w:sz w:val="21"/>
          <w:szCs w:val="21"/>
        </w:rPr>
      </w:pPr>
    </w:p>
    <w:p w14:paraId="3EB09D45">
      <w:pPr>
        <w:pStyle w:val="130"/>
        <w:spacing w:line="300" w:lineRule="atLeast"/>
        <w:ind w:left="30" w:right="-48" w:hanging="4"/>
        <w:rPr>
          <w:rFonts w:hint="default" w:ascii="Calibri" w:hAnsi="Calibri" w:cs="Calibri"/>
          <w:b/>
          <w:bCs w:val="0"/>
          <w:sz w:val="21"/>
          <w:szCs w:val="21"/>
          <w:lang w:val="pt-BR"/>
        </w:rPr>
      </w:pPr>
      <w:r>
        <w:rPr>
          <w:rFonts w:hint="default" w:ascii="Calibri" w:hAnsi="Calibri" w:cs="Calibri"/>
          <w:b/>
          <w:bCs w:val="0"/>
          <w:sz w:val="21"/>
          <w:szCs w:val="21"/>
          <w:lang w:val="pt-BR"/>
        </w:rPr>
        <w:t>Requisição nº 201/2025 (SISTEMA)</w:t>
      </w:r>
    </w:p>
    <w:p w14:paraId="1DA0B263">
      <w:pPr>
        <w:keepNext w:val="0"/>
        <w:keepLines w:val="0"/>
        <w:pageBreakBefore w:val="0"/>
        <w:kinsoku/>
        <w:wordWrap/>
        <w:overflowPunct/>
        <w:topLinePunct w:val="0"/>
        <w:bidi w:val="0"/>
        <w:adjustRightInd/>
        <w:snapToGrid/>
        <w:spacing w:after="0" w:line="240" w:lineRule="auto"/>
        <w:jc w:val="both"/>
        <w:rPr>
          <w:rFonts w:hint="default" w:ascii="Calibri" w:hAnsi="Calibri" w:eastAsia="Times New Roman" w:cs="Calibri"/>
          <w:color w:val="000000"/>
          <w:sz w:val="22"/>
          <w:szCs w:val="22"/>
          <w:lang w:val="en-US" w:eastAsia="pt-BR"/>
        </w:rPr>
      </w:pPr>
    </w:p>
    <w:p w14:paraId="2A0DA9AE">
      <w:pPr>
        <w:keepNext w:val="0"/>
        <w:keepLines w:val="0"/>
        <w:pageBreakBefore w:val="0"/>
        <w:kinsoku/>
        <w:wordWrap/>
        <w:overflowPunct/>
        <w:topLinePunct w:val="0"/>
        <w:bidi w:val="0"/>
        <w:adjustRightInd/>
        <w:snapToGrid/>
        <w:spacing w:after="0" w:line="240" w:lineRule="auto"/>
        <w:jc w:val="both"/>
        <w:rPr>
          <w:rFonts w:hint="default" w:ascii="Calibri" w:hAnsi="Calibri" w:eastAsia="Times New Roman" w:cs="Calibri"/>
          <w:color w:val="auto"/>
          <w:sz w:val="22"/>
          <w:szCs w:val="22"/>
          <w:lang w:val="en-US" w:eastAsia="pt-BR"/>
        </w:rPr>
      </w:pPr>
    </w:p>
    <w:p w14:paraId="17D05D0F">
      <w:pPr>
        <w:keepNext w:val="0"/>
        <w:keepLines w:val="0"/>
        <w:pageBreakBefore w:val="0"/>
        <w:widowControl/>
        <w:kinsoku/>
        <w:wordWrap/>
        <w:overflowPunct/>
        <w:topLinePunct w:val="0"/>
        <w:autoSpaceDE/>
        <w:autoSpaceDN/>
        <w:bidi w:val="0"/>
        <w:adjustRightInd/>
        <w:snapToGrid/>
        <w:spacing w:line="240" w:lineRule="auto"/>
        <w:jc w:val="both"/>
        <w:textAlignment w:val="auto"/>
        <w:rPr>
          <w:color w:val="auto"/>
          <w:sz w:val="20"/>
          <w:szCs w:val="20"/>
        </w:rPr>
      </w:pPr>
      <w:r>
        <w:rPr>
          <w:rFonts w:hint="default" w:ascii="Calibri" w:hAnsi="Calibri" w:cs="Calibri"/>
          <w:b/>
          <w:bCs w:val="0"/>
          <w:color w:val="auto"/>
          <w:sz w:val="21"/>
          <w:szCs w:val="21"/>
        </w:rPr>
        <w:t>OBJETO</w:t>
      </w:r>
      <w:r>
        <w:rPr>
          <w:rFonts w:hint="default" w:ascii="Calibri" w:hAnsi="Calibri" w:cs="Calibri"/>
          <w:b/>
          <w:bCs w:val="0"/>
          <w:color w:val="auto"/>
          <w:sz w:val="21"/>
          <w:szCs w:val="21"/>
          <w:lang w:val="pt-BR"/>
        </w:rPr>
        <w:t xml:space="preserve">: </w:t>
      </w:r>
      <w:r>
        <w:rPr>
          <w:rFonts w:hint="default" w:ascii="Calibri" w:hAnsi="Calibri"/>
          <w:b/>
          <w:bCs/>
          <w:color w:val="auto"/>
          <w:sz w:val="21"/>
          <w:szCs w:val="21"/>
        </w:rPr>
        <w:t>REGISTRO DE PREÇOS PARA AQUISIÇÃO DE GENEROS ALIMENTÍCIOS DIVERSOS PARA AS SECRETARIAS MUNICIPAIS E SUAS UNIDADES OPERACIONAIS</w:t>
      </w:r>
    </w:p>
    <w:p w14:paraId="7421E087">
      <w:pPr>
        <w:spacing w:before="0" w:after="120"/>
        <w:jc w:val="both"/>
        <w:rPr>
          <w:rFonts w:hint="default" w:ascii="Calibri" w:hAnsi="Calibri"/>
          <w:b w:val="0"/>
          <w:bCs w:val="0"/>
          <w:color w:val="auto"/>
          <w:sz w:val="22"/>
          <w:szCs w:val="22"/>
        </w:rPr>
      </w:pPr>
    </w:p>
    <w:p w14:paraId="27E3FC07">
      <w:pPr>
        <w:keepNext w:val="0"/>
        <w:keepLines w:val="0"/>
        <w:pageBreakBefore w:val="0"/>
        <w:kinsoku/>
        <w:wordWrap/>
        <w:overflowPunct/>
        <w:topLinePunct w:val="0"/>
        <w:bidi w:val="0"/>
        <w:adjustRightInd/>
        <w:snapToGrid/>
        <w:spacing w:after="0" w:line="240" w:lineRule="auto"/>
        <w:jc w:val="both"/>
        <w:rPr>
          <w:rFonts w:hint="default" w:ascii="Calibri" w:hAnsi="Calibri" w:eastAsia="Times New Roman" w:cs="Calibri"/>
          <w:b/>
          <w:bCs/>
          <w:color w:val="000000"/>
          <w:sz w:val="22"/>
          <w:szCs w:val="22"/>
          <w:lang w:val="en-US" w:eastAsia="pt-BR"/>
        </w:rPr>
      </w:pPr>
      <w:r>
        <w:rPr>
          <w:rFonts w:hint="default" w:ascii="Calibri" w:hAnsi="Calibri" w:eastAsia="Times New Roman" w:cs="Calibri"/>
          <w:b/>
          <w:bCs/>
          <w:color w:val="000000"/>
          <w:sz w:val="22"/>
          <w:szCs w:val="22"/>
          <w:lang w:val="en-US" w:eastAsia="pt-BR"/>
        </w:rPr>
        <w:t>CONDIÇÕES GERAIS</w:t>
      </w:r>
    </w:p>
    <w:p w14:paraId="2F8DF210">
      <w:pPr>
        <w:keepNext w:val="0"/>
        <w:keepLines w:val="0"/>
        <w:pageBreakBefore w:val="0"/>
        <w:kinsoku/>
        <w:wordWrap/>
        <w:overflowPunct/>
        <w:topLinePunct w:val="0"/>
        <w:bidi w:val="0"/>
        <w:adjustRightInd/>
        <w:snapToGrid/>
        <w:spacing w:after="0" w:line="240" w:lineRule="auto"/>
        <w:jc w:val="both"/>
        <w:rPr>
          <w:rFonts w:hint="default" w:ascii="Calibri" w:hAnsi="Calibri" w:eastAsia="Times New Roman" w:cs="Calibri"/>
          <w:color w:val="000000"/>
          <w:sz w:val="22"/>
          <w:szCs w:val="22"/>
          <w:lang w:val="en-US" w:eastAsia="pt-BR"/>
        </w:rPr>
      </w:pPr>
    </w:p>
    <w:p w14:paraId="28E9242E">
      <w:pPr>
        <w:numPr>
          <w:ilvl w:val="0"/>
          <w:numId w:val="8"/>
        </w:numPr>
        <w:jc w:val="both"/>
        <w:rPr>
          <w:rFonts w:hint="default" w:ascii="Calibri" w:hAnsi="Calibri"/>
          <w:color w:val="auto"/>
          <w:sz w:val="21"/>
          <w:szCs w:val="21"/>
        </w:rPr>
      </w:pPr>
      <w:r>
        <w:rPr>
          <w:rFonts w:hint="default" w:ascii="Calibri" w:hAnsi="Calibri"/>
          <w:color w:val="auto"/>
          <w:sz w:val="21"/>
          <w:szCs w:val="21"/>
        </w:rPr>
        <w:t>O</w:t>
      </w:r>
      <w:r>
        <w:rPr>
          <w:rFonts w:hint="default" w:ascii="Calibri" w:hAnsi="Calibri"/>
          <w:color w:val="auto"/>
          <w:sz w:val="21"/>
          <w:szCs w:val="21"/>
          <w:lang w:val="pt-BR"/>
        </w:rPr>
        <w:t xml:space="preserve"> objeto</w:t>
      </w:r>
      <w:r>
        <w:rPr>
          <w:rFonts w:hint="default" w:ascii="Calibri" w:hAnsi="Calibri"/>
          <w:color w:val="auto"/>
          <w:sz w:val="21"/>
          <w:szCs w:val="21"/>
        </w:rPr>
        <w:t xml:space="preserve"> fornecido pela CONTRATADA deverão primar pela qualidade, higiene, economicidade, sempre respeitando as características e determinações técnicas que garantam a eficácia da correta execução do objeto.</w:t>
      </w:r>
    </w:p>
    <w:p w14:paraId="2B2B48B1">
      <w:pPr>
        <w:numPr>
          <w:ilvl w:val="0"/>
          <w:numId w:val="8"/>
        </w:numPr>
        <w:ind w:left="0" w:leftChars="0" w:firstLine="0" w:firstLineChars="0"/>
        <w:jc w:val="both"/>
        <w:rPr>
          <w:rFonts w:hint="default" w:ascii="Calibri" w:hAnsi="Calibri"/>
          <w:color w:val="auto"/>
          <w:sz w:val="21"/>
          <w:szCs w:val="21"/>
        </w:rPr>
      </w:pPr>
      <w:r>
        <w:rPr>
          <w:rFonts w:hint="default" w:ascii="Calibri" w:hAnsi="Calibri"/>
          <w:color w:val="auto"/>
          <w:sz w:val="21"/>
          <w:szCs w:val="21"/>
          <w:lang w:val="pt-BR"/>
        </w:rPr>
        <w:t>As entrega</w:t>
      </w:r>
      <w:r>
        <w:rPr>
          <w:rFonts w:hint="default" w:ascii="Calibri" w:hAnsi="Calibri"/>
          <w:color w:val="auto"/>
          <w:sz w:val="21"/>
          <w:szCs w:val="21"/>
        </w:rPr>
        <w:t>s serão fiscalizad</w:t>
      </w:r>
      <w:r>
        <w:rPr>
          <w:rFonts w:hint="default" w:ascii="Calibri" w:hAnsi="Calibri"/>
          <w:color w:val="auto"/>
          <w:sz w:val="21"/>
          <w:szCs w:val="21"/>
          <w:lang w:val="pt-BR"/>
        </w:rPr>
        <w:t>a</w:t>
      </w:r>
      <w:r>
        <w:rPr>
          <w:rFonts w:hint="default" w:ascii="Calibri" w:hAnsi="Calibri"/>
          <w:color w:val="auto"/>
          <w:sz w:val="21"/>
          <w:szCs w:val="21"/>
        </w:rPr>
        <w:t xml:space="preserve">s com rigor pela solicitante e caso não estejam em conformidade com o descrito, ou aos fins a que se destinam, </w:t>
      </w:r>
      <w:r>
        <w:rPr>
          <w:rFonts w:hint="default" w:ascii="Calibri" w:hAnsi="Calibri"/>
          <w:color w:val="auto"/>
          <w:sz w:val="21"/>
          <w:szCs w:val="21"/>
          <w:lang w:val="pt-BR"/>
        </w:rPr>
        <w:t xml:space="preserve">os produtos </w:t>
      </w:r>
      <w:r>
        <w:rPr>
          <w:rFonts w:hint="default" w:ascii="Calibri" w:hAnsi="Calibri"/>
          <w:color w:val="auto"/>
          <w:sz w:val="21"/>
          <w:szCs w:val="21"/>
        </w:rPr>
        <w:t xml:space="preserve">deverão ser substituídos, às custas da contratada. </w:t>
      </w:r>
    </w:p>
    <w:p w14:paraId="5F2A4D2E">
      <w:pPr>
        <w:numPr>
          <w:ilvl w:val="0"/>
          <w:numId w:val="8"/>
        </w:numPr>
        <w:ind w:left="0" w:leftChars="0" w:firstLine="0" w:firstLineChars="0"/>
        <w:jc w:val="both"/>
        <w:rPr>
          <w:rFonts w:hint="default" w:ascii="Calibri" w:hAnsi="Calibri"/>
          <w:color w:val="auto"/>
          <w:sz w:val="21"/>
          <w:szCs w:val="21"/>
        </w:rPr>
      </w:pPr>
      <w:r>
        <w:rPr>
          <w:rFonts w:hint="default" w:ascii="Calibri" w:hAnsi="Calibri"/>
          <w:color w:val="auto"/>
          <w:sz w:val="21"/>
          <w:szCs w:val="21"/>
        </w:rPr>
        <w:t>Também será de responsabilidade da CONTRATADA, o uso de veículo próprio e suas respectivas despesas, tanto com combustível ou outras, bem como todos os encargos trabalhistas, previdenciários e tributários aplicáveis</w:t>
      </w:r>
      <w:r>
        <w:rPr>
          <w:rFonts w:hint="default" w:ascii="Calibri" w:hAnsi="Calibri"/>
          <w:color w:val="auto"/>
          <w:sz w:val="21"/>
          <w:szCs w:val="21"/>
          <w:lang w:val="pt-BR"/>
        </w:rPr>
        <w:t>, não cabendo ao Município quaisquer gastos adicionais</w:t>
      </w:r>
      <w:r>
        <w:rPr>
          <w:rFonts w:hint="default" w:ascii="Calibri" w:hAnsi="Calibri"/>
          <w:color w:val="auto"/>
          <w:sz w:val="21"/>
          <w:szCs w:val="21"/>
        </w:rPr>
        <w:t>.</w:t>
      </w:r>
    </w:p>
    <w:p w14:paraId="59D74D3F">
      <w:pPr>
        <w:numPr>
          <w:ilvl w:val="0"/>
          <w:numId w:val="8"/>
        </w:numPr>
        <w:ind w:left="0" w:leftChars="0" w:firstLine="0" w:firstLineChars="0"/>
        <w:jc w:val="both"/>
        <w:rPr>
          <w:rFonts w:hint="default" w:ascii="Calibri" w:hAnsi="Calibri"/>
          <w:color w:val="auto"/>
          <w:sz w:val="21"/>
          <w:szCs w:val="21"/>
        </w:rPr>
      </w:pPr>
      <w:r>
        <w:rPr>
          <w:rFonts w:hint="default" w:ascii="Calibri" w:hAnsi="Calibri"/>
          <w:color w:val="auto"/>
          <w:sz w:val="21"/>
          <w:szCs w:val="21"/>
        </w:rPr>
        <w:t>As entregas deverão ser executadas dentro do prazo estipulado no presente termo de referência, considerando-se como atraso/não execução, o período posterior ao fixado, sem a correta e completa conclusão das solicitações feitas.</w:t>
      </w:r>
    </w:p>
    <w:p w14:paraId="590B531A">
      <w:pPr>
        <w:numPr>
          <w:ilvl w:val="0"/>
          <w:numId w:val="8"/>
        </w:numPr>
        <w:ind w:left="0" w:leftChars="0" w:firstLine="0" w:firstLineChars="0"/>
        <w:jc w:val="both"/>
        <w:rPr>
          <w:rFonts w:hint="default" w:ascii="Calibri" w:hAnsi="Calibri"/>
          <w:color w:val="auto"/>
          <w:sz w:val="21"/>
          <w:szCs w:val="21"/>
        </w:rPr>
      </w:pPr>
      <w:r>
        <w:rPr>
          <w:rFonts w:hint="default" w:ascii="Calibri" w:hAnsi="Calibri"/>
          <w:color w:val="auto"/>
          <w:sz w:val="21"/>
          <w:szCs w:val="21"/>
          <w:lang w:val="pt-BR"/>
        </w:rPr>
        <w:t>D</w:t>
      </w:r>
      <w:r>
        <w:rPr>
          <w:rFonts w:hint="default" w:ascii="Calibri" w:hAnsi="Calibri"/>
          <w:color w:val="auto"/>
          <w:sz w:val="21"/>
          <w:szCs w:val="21"/>
        </w:rPr>
        <w:t>everá fornecer as mercadorias objeto deste Termo de Referência em estrita conformidade com a legislação aplicável, incluindo, mas não se limitando, às normas de segurança, saúde, qualidade, meio ambiente e normas técnicas regulamentadoras.</w:t>
      </w:r>
    </w:p>
    <w:p w14:paraId="066B8CEB">
      <w:pPr>
        <w:numPr>
          <w:ilvl w:val="0"/>
          <w:numId w:val="8"/>
        </w:numPr>
        <w:ind w:left="0" w:leftChars="0" w:firstLine="0" w:firstLineChars="0"/>
        <w:jc w:val="both"/>
        <w:rPr>
          <w:rFonts w:hint="default" w:ascii="Calibri" w:hAnsi="Calibri"/>
          <w:color w:val="auto"/>
          <w:sz w:val="21"/>
          <w:szCs w:val="21"/>
        </w:rPr>
      </w:pPr>
      <w:r>
        <w:rPr>
          <w:rFonts w:hint="default" w:ascii="Calibri" w:hAnsi="Calibri"/>
          <w:color w:val="auto"/>
          <w:sz w:val="21"/>
          <w:szCs w:val="21"/>
        </w:rPr>
        <w:t>Fica entendido que, as especificações e toda a documentação da contratação são complementares entre si, de modo que qualquer detalhe que se mencione em um documento e se omita em outro será considerado específico e válido.</w:t>
      </w:r>
    </w:p>
    <w:p w14:paraId="55CB4EEA">
      <w:pPr>
        <w:numPr>
          <w:ilvl w:val="0"/>
          <w:numId w:val="8"/>
        </w:numPr>
        <w:ind w:left="0" w:leftChars="0" w:firstLine="0" w:firstLineChars="0"/>
        <w:jc w:val="both"/>
        <w:rPr>
          <w:rFonts w:hint="default" w:ascii="Calibri" w:hAnsi="Calibri" w:cs="Calibri"/>
          <w:sz w:val="21"/>
          <w:szCs w:val="21"/>
          <w:lang w:val="pt-BR"/>
        </w:rPr>
      </w:pPr>
      <w:r>
        <w:rPr>
          <w:rFonts w:hint="default" w:ascii="Calibri" w:hAnsi="Calibri"/>
          <w:color w:val="auto"/>
          <w:sz w:val="21"/>
          <w:szCs w:val="21"/>
        </w:rPr>
        <w:t>Não será admitida a cotação de preços pelos licitantes para quantitativos menores do que os constantes do lote</w:t>
      </w:r>
    </w:p>
    <w:p w14:paraId="3B9529FF">
      <w:pPr>
        <w:numPr>
          <w:ilvl w:val="0"/>
          <w:numId w:val="8"/>
        </w:numPr>
        <w:ind w:left="0" w:leftChars="0" w:firstLine="0" w:firstLineChars="0"/>
        <w:jc w:val="both"/>
        <w:rPr>
          <w:rFonts w:hint="default" w:ascii="Calibri" w:hAnsi="Calibri" w:cs="Calibri"/>
          <w:sz w:val="21"/>
          <w:szCs w:val="21"/>
          <w:lang w:val="pt-BR"/>
        </w:rPr>
      </w:pPr>
      <w:r>
        <w:rPr>
          <w:rFonts w:hint="default" w:ascii="Calibri" w:hAnsi="Calibri"/>
          <w:sz w:val="21"/>
          <w:szCs w:val="21"/>
          <w:lang w:val="pt-BR"/>
        </w:rPr>
        <w:t>Deve se responsabilizar em seguir integralmente a legislação aplicável, mesmo que, porventura, tal legislação não fora explicitamente mencionada no presente documento.</w:t>
      </w:r>
    </w:p>
    <w:p w14:paraId="5CEC253F">
      <w:pPr>
        <w:jc w:val="both"/>
        <w:rPr>
          <w:rFonts w:hint="default" w:ascii="Calibri" w:hAnsi="Calibri" w:cs="Calibri"/>
          <w:sz w:val="21"/>
          <w:szCs w:val="21"/>
          <w:highlight w:val="none"/>
          <w:lang w:val="pt-BR"/>
        </w:rPr>
      </w:pPr>
    </w:p>
    <w:p w14:paraId="224402DD">
      <w:pPr>
        <w:numPr>
          <w:ilvl w:val="0"/>
          <w:numId w:val="8"/>
        </w:numPr>
        <w:ind w:left="0" w:leftChars="0" w:firstLine="0" w:firstLineChars="0"/>
        <w:jc w:val="both"/>
        <w:rPr>
          <w:rFonts w:hint="default" w:ascii="Calibri" w:hAnsi="Calibri" w:cs="Calibri"/>
          <w:sz w:val="21"/>
          <w:szCs w:val="21"/>
          <w:highlight w:val="none"/>
        </w:rPr>
      </w:pPr>
      <w:r>
        <w:rPr>
          <w:rFonts w:hint="default" w:ascii="Calibri" w:hAnsi="Calibri" w:cs="Calibri"/>
          <w:sz w:val="21"/>
          <w:szCs w:val="21"/>
          <w:highlight w:val="none"/>
        </w:rPr>
        <w:t xml:space="preserve">O recebimento </w:t>
      </w:r>
      <w:r>
        <w:rPr>
          <w:rFonts w:hint="default" w:ascii="Calibri" w:hAnsi="Calibri" w:cs="Calibri"/>
          <w:sz w:val="21"/>
          <w:szCs w:val="21"/>
          <w:highlight w:val="none"/>
          <w:lang w:val="pt-BR"/>
        </w:rPr>
        <w:t xml:space="preserve">do objeto </w:t>
      </w:r>
      <w:r>
        <w:rPr>
          <w:rFonts w:hint="default" w:ascii="Calibri" w:hAnsi="Calibri" w:cs="Calibri"/>
          <w:sz w:val="21"/>
          <w:szCs w:val="21"/>
          <w:highlight w:val="none"/>
        </w:rPr>
        <w:t>dar</w:t>
      </w:r>
      <w:r>
        <w:rPr>
          <w:rFonts w:hint="default" w:ascii="Calibri" w:hAnsi="Calibri" w:cs="Calibri"/>
          <w:sz w:val="21"/>
          <w:szCs w:val="21"/>
          <w:highlight w:val="none"/>
          <w:lang w:val="pt-BR"/>
        </w:rPr>
        <w:t>-se-</w:t>
      </w:r>
      <w:r>
        <w:rPr>
          <w:rFonts w:hint="default" w:ascii="Calibri" w:hAnsi="Calibri" w:cs="Calibri"/>
          <w:sz w:val="21"/>
          <w:szCs w:val="21"/>
          <w:highlight w:val="none"/>
        </w:rPr>
        <w:t>á da seguinte forma:</w:t>
      </w:r>
    </w:p>
    <w:p w14:paraId="34FB308C">
      <w:pPr>
        <w:numPr>
          <w:ilvl w:val="0"/>
          <w:numId w:val="9"/>
        </w:numPr>
        <w:ind w:firstLine="700" w:firstLineChars="0"/>
        <w:jc w:val="both"/>
        <w:rPr>
          <w:rFonts w:hint="default" w:ascii="Calibri" w:hAnsi="Calibri" w:cs="Calibri"/>
          <w:b w:val="0"/>
          <w:bCs/>
          <w:sz w:val="20"/>
          <w:szCs w:val="20"/>
          <w:highlight w:val="none"/>
        </w:rPr>
      </w:pPr>
      <w:r>
        <w:rPr>
          <w:rFonts w:hint="default" w:ascii="Calibri" w:hAnsi="Calibri" w:cs="Calibri"/>
          <w:b w:val="0"/>
          <w:bCs/>
          <w:sz w:val="21"/>
          <w:szCs w:val="21"/>
          <w:highlight w:val="none"/>
        </w:rPr>
        <w:t xml:space="preserve">PROVISORIAMENTE: No </w:t>
      </w:r>
      <w:r>
        <w:rPr>
          <w:rFonts w:hint="default" w:ascii="Calibri" w:hAnsi="Calibri" w:cs="Calibri"/>
          <w:b w:val="0"/>
          <w:bCs/>
          <w:sz w:val="20"/>
          <w:szCs w:val="20"/>
          <w:highlight w:val="none"/>
        </w:rPr>
        <w:t>momento da entrega a Administração efetuará o RECEBIMENTO PROVISÓRIO, para efeitos de posterior verificação da conformidade do objeto e consequente juízo de aceitação</w:t>
      </w:r>
      <w:r>
        <w:rPr>
          <w:rFonts w:hint="default" w:ascii="Calibri" w:hAnsi="Calibri" w:cs="Calibri"/>
          <w:b w:val="0"/>
          <w:bCs/>
          <w:sz w:val="20"/>
          <w:szCs w:val="20"/>
          <w:highlight w:val="none"/>
          <w:lang w:val="pt-BR"/>
        </w:rPr>
        <w:t>.</w:t>
      </w:r>
    </w:p>
    <w:p w14:paraId="49B96411">
      <w:pPr>
        <w:numPr>
          <w:ilvl w:val="0"/>
          <w:numId w:val="9"/>
        </w:numPr>
        <w:ind w:firstLine="700" w:firstLineChars="0"/>
        <w:jc w:val="both"/>
        <w:rPr>
          <w:rFonts w:hint="default" w:ascii="Calibri" w:hAnsi="Calibri" w:cs="Calibri"/>
          <w:b w:val="0"/>
          <w:bCs/>
          <w:sz w:val="20"/>
          <w:szCs w:val="20"/>
          <w:highlight w:val="none"/>
        </w:rPr>
      </w:pPr>
      <w:r>
        <w:rPr>
          <w:rFonts w:hint="default" w:ascii="Calibri" w:hAnsi="Calibri" w:cs="Calibri"/>
          <w:b w:val="0"/>
          <w:bCs/>
          <w:sz w:val="20"/>
          <w:szCs w:val="20"/>
          <w:highlight w:val="none"/>
        </w:rPr>
        <w:t xml:space="preserve"> DEFINITIVAMENTE: A Administração emitirá o RECEBIMENTO DEFINITIVO num prazo máximo de 0</w:t>
      </w:r>
      <w:r>
        <w:rPr>
          <w:rFonts w:hint="default" w:ascii="Calibri" w:hAnsi="Calibri" w:cs="Calibri"/>
          <w:b w:val="0"/>
          <w:bCs/>
          <w:sz w:val="20"/>
          <w:szCs w:val="20"/>
          <w:highlight w:val="none"/>
          <w:lang w:val="pt-BR"/>
        </w:rPr>
        <w:t>5</w:t>
      </w:r>
      <w:r>
        <w:rPr>
          <w:rFonts w:hint="default" w:ascii="Calibri" w:hAnsi="Calibri" w:cs="Calibri"/>
          <w:b w:val="0"/>
          <w:bCs/>
          <w:sz w:val="20"/>
          <w:szCs w:val="20"/>
          <w:highlight w:val="none"/>
        </w:rPr>
        <w:t xml:space="preserve"> dias, prorrogáveis por mais 0</w:t>
      </w:r>
      <w:r>
        <w:rPr>
          <w:rFonts w:hint="default" w:ascii="Calibri" w:hAnsi="Calibri" w:cs="Calibri"/>
          <w:b w:val="0"/>
          <w:bCs/>
          <w:sz w:val="20"/>
          <w:szCs w:val="20"/>
          <w:highlight w:val="none"/>
          <w:lang w:val="pt-BR"/>
        </w:rPr>
        <w:t>5</w:t>
      </w:r>
      <w:r>
        <w:rPr>
          <w:rFonts w:hint="default" w:ascii="Calibri" w:hAnsi="Calibri" w:cs="Calibri"/>
          <w:b w:val="0"/>
          <w:bCs/>
          <w:sz w:val="20"/>
          <w:szCs w:val="20"/>
          <w:highlight w:val="none"/>
        </w:rPr>
        <w:t xml:space="preserve"> dias, contados da data do recebimento provisório</w:t>
      </w:r>
      <w:r>
        <w:rPr>
          <w:rFonts w:hint="default" w:ascii="Calibri" w:hAnsi="Calibri" w:cs="Calibri"/>
          <w:b w:val="0"/>
          <w:bCs/>
          <w:sz w:val="20"/>
          <w:szCs w:val="20"/>
          <w:highlight w:val="none"/>
          <w:lang w:val="pt-BR"/>
        </w:rPr>
        <w:t>, exceto para os itens do lote 01, que são para consumo imediato, onde o recebimento definitivo dar-se-á no mesmo dia.</w:t>
      </w:r>
    </w:p>
    <w:p w14:paraId="3531E940">
      <w:pPr>
        <w:numPr>
          <w:ilvl w:val="0"/>
          <w:numId w:val="0"/>
        </w:numPr>
        <w:jc w:val="both"/>
        <w:rPr>
          <w:rFonts w:hint="default" w:ascii="Calibri" w:hAnsi="Calibri"/>
          <w:b w:val="0"/>
          <w:bCs/>
          <w:sz w:val="20"/>
          <w:szCs w:val="20"/>
        </w:rPr>
      </w:pPr>
    </w:p>
    <w:p w14:paraId="52DA7D78">
      <w:pPr>
        <w:ind w:left="0" w:leftChars="0" w:firstLine="969" w:firstLineChars="485"/>
        <w:jc w:val="both"/>
        <w:rPr>
          <w:rFonts w:hint="default" w:ascii="Calibri" w:hAnsi="Calibri" w:cs="Calibri"/>
          <w:b w:val="0"/>
          <w:bCs/>
          <w:sz w:val="20"/>
          <w:szCs w:val="20"/>
          <w:highlight w:val="none"/>
        </w:rPr>
      </w:pPr>
      <w:r>
        <w:rPr>
          <w:rFonts w:hint="default" w:ascii="Calibri" w:hAnsi="Calibri" w:cs="Calibri"/>
          <w:b w:val="0"/>
          <w:bCs/>
          <w:sz w:val="20"/>
          <w:szCs w:val="20"/>
          <w:highlight w:val="none"/>
          <w:lang w:val="pt-BR"/>
        </w:rPr>
        <w:t>9.1</w:t>
      </w:r>
      <w:r>
        <w:rPr>
          <w:rFonts w:hint="default" w:ascii="Calibri" w:hAnsi="Calibri" w:cs="Calibri"/>
          <w:b w:val="0"/>
          <w:bCs/>
          <w:sz w:val="20"/>
          <w:szCs w:val="20"/>
          <w:highlight w:val="none"/>
        </w:rPr>
        <w:t xml:space="preserve"> O recebimento do objeto pela Administração será sempre considerado PROVISÓRIO, mesmo que o seu agente emita recibo ou aceite a Nota Fiscal, sendo considerado DEFINITIVO o recebimento tão somente após a emissão do regular Recebimento Definitivo.</w:t>
      </w:r>
    </w:p>
    <w:p w14:paraId="3E77EF60">
      <w:pPr>
        <w:ind w:left="0" w:leftChars="0" w:firstLine="946" w:firstLineChars="0"/>
        <w:jc w:val="both"/>
        <w:rPr>
          <w:rFonts w:hint="default" w:ascii="Calibri" w:hAnsi="Calibri" w:cs="Calibri"/>
          <w:b w:val="0"/>
          <w:bCs/>
          <w:sz w:val="20"/>
          <w:szCs w:val="20"/>
          <w:highlight w:val="none"/>
        </w:rPr>
      </w:pPr>
      <w:r>
        <w:rPr>
          <w:rFonts w:hint="default" w:ascii="Calibri" w:hAnsi="Calibri" w:cs="Calibri"/>
          <w:b w:val="0"/>
          <w:bCs/>
          <w:sz w:val="20"/>
          <w:szCs w:val="20"/>
          <w:highlight w:val="none"/>
          <w:lang w:val="pt-BR"/>
        </w:rPr>
        <w:t>9.2</w:t>
      </w:r>
      <w:r>
        <w:rPr>
          <w:rFonts w:hint="default" w:ascii="Calibri" w:hAnsi="Calibri" w:cs="Calibri"/>
          <w:b w:val="0"/>
          <w:bCs/>
          <w:sz w:val="20"/>
          <w:szCs w:val="20"/>
          <w:highlight w:val="none"/>
        </w:rPr>
        <w:t xml:space="preserve"> Expirado o prazo previsto na alínea “b”, sem manifestação do CONTRATANTE, reputar-se-á realizado o Recebimento Definitivo (tacitamente).</w:t>
      </w:r>
    </w:p>
    <w:p w14:paraId="6A2FB48D">
      <w:pPr>
        <w:ind w:left="0" w:leftChars="0" w:firstLine="946" w:firstLineChars="0"/>
        <w:jc w:val="both"/>
        <w:rPr>
          <w:rFonts w:hint="default" w:ascii="Calibri" w:hAnsi="Calibri" w:cs="Calibri"/>
          <w:b w:val="0"/>
          <w:bCs/>
          <w:sz w:val="20"/>
          <w:szCs w:val="20"/>
          <w:highlight w:val="none"/>
        </w:rPr>
      </w:pPr>
      <w:r>
        <w:rPr>
          <w:rFonts w:hint="default" w:ascii="Calibri" w:hAnsi="Calibri" w:cs="Calibri"/>
          <w:b w:val="0"/>
          <w:bCs/>
          <w:sz w:val="20"/>
          <w:szCs w:val="20"/>
          <w:highlight w:val="none"/>
          <w:lang w:val="pt-BR"/>
        </w:rPr>
        <w:t>9.3</w:t>
      </w:r>
      <w:r>
        <w:rPr>
          <w:rFonts w:hint="default" w:ascii="Calibri" w:hAnsi="Calibri" w:cs="Calibri"/>
          <w:b w:val="0"/>
          <w:bCs/>
          <w:sz w:val="20"/>
          <w:szCs w:val="20"/>
          <w:highlight w:val="none"/>
        </w:rPr>
        <w:t xml:space="preserve"> Caso o objeto seja rejeitado pela Administração, </w:t>
      </w:r>
      <w:r>
        <w:rPr>
          <w:rFonts w:hint="default" w:ascii="Calibri" w:hAnsi="Calibri" w:cs="Calibri"/>
          <w:b w:val="0"/>
          <w:bCs/>
          <w:sz w:val="20"/>
          <w:szCs w:val="20"/>
          <w:highlight w:val="none"/>
          <w:lang w:val="pt-BR"/>
        </w:rPr>
        <w:t xml:space="preserve">sem prejuízo das sanções por atraso, </w:t>
      </w:r>
      <w:r>
        <w:rPr>
          <w:rFonts w:hint="default" w:ascii="Calibri" w:hAnsi="Calibri" w:cs="Calibri"/>
          <w:b w:val="0"/>
          <w:bCs/>
          <w:sz w:val="20"/>
          <w:szCs w:val="20"/>
          <w:highlight w:val="none"/>
        </w:rPr>
        <w:t xml:space="preserve">a CONTRATADA terá o </w:t>
      </w:r>
      <w:r>
        <w:rPr>
          <w:rFonts w:hint="default" w:ascii="Calibri" w:hAnsi="Calibri" w:cs="Calibri"/>
          <w:b w:val="0"/>
          <w:bCs/>
          <w:color w:val="000000"/>
          <w:sz w:val="20"/>
          <w:szCs w:val="20"/>
          <w:highlight w:val="none"/>
        </w:rPr>
        <w:t>prazo de 0</w:t>
      </w:r>
      <w:r>
        <w:rPr>
          <w:rFonts w:hint="default" w:ascii="Calibri" w:hAnsi="Calibri" w:cs="Calibri"/>
          <w:b w:val="0"/>
          <w:bCs/>
          <w:color w:val="000000"/>
          <w:sz w:val="20"/>
          <w:szCs w:val="20"/>
          <w:highlight w:val="none"/>
          <w:lang w:val="pt-BR"/>
        </w:rPr>
        <w:t>2</w:t>
      </w:r>
      <w:r>
        <w:rPr>
          <w:rFonts w:hint="default" w:ascii="Calibri" w:hAnsi="Calibri" w:cs="Calibri"/>
          <w:b w:val="0"/>
          <w:bCs/>
          <w:color w:val="000000"/>
          <w:sz w:val="20"/>
          <w:szCs w:val="20"/>
          <w:highlight w:val="none"/>
        </w:rPr>
        <w:t xml:space="preserve"> (</w:t>
      </w:r>
      <w:r>
        <w:rPr>
          <w:rFonts w:hint="default" w:ascii="Calibri" w:hAnsi="Calibri" w:cs="Calibri"/>
          <w:b w:val="0"/>
          <w:bCs/>
          <w:color w:val="000000"/>
          <w:sz w:val="20"/>
          <w:szCs w:val="20"/>
          <w:highlight w:val="none"/>
          <w:lang w:val="pt-BR"/>
        </w:rPr>
        <w:t>dois</w:t>
      </w:r>
      <w:r>
        <w:rPr>
          <w:rFonts w:hint="default" w:ascii="Calibri" w:hAnsi="Calibri" w:cs="Calibri"/>
          <w:b w:val="0"/>
          <w:bCs/>
          <w:color w:val="000000"/>
          <w:sz w:val="20"/>
          <w:szCs w:val="20"/>
          <w:highlight w:val="none"/>
        </w:rPr>
        <w:t>) dia</w:t>
      </w:r>
      <w:r>
        <w:rPr>
          <w:rFonts w:hint="default" w:ascii="Calibri" w:hAnsi="Calibri" w:cs="Calibri"/>
          <w:b w:val="0"/>
          <w:bCs/>
          <w:color w:val="000000"/>
          <w:sz w:val="20"/>
          <w:szCs w:val="20"/>
          <w:highlight w:val="none"/>
          <w:lang w:val="pt-BR"/>
        </w:rPr>
        <w:t>s</w:t>
      </w:r>
      <w:r>
        <w:rPr>
          <w:rFonts w:hint="default" w:ascii="Calibri" w:hAnsi="Calibri" w:cs="Calibri"/>
          <w:b w:val="0"/>
          <w:bCs/>
          <w:sz w:val="20"/>
          <w:szCs w:val="20"/>
          <w:highlight w:val="none"/>
        </w:rPr>
        <w:t xml:space="preserve"> para substituir o mesmo, sob pena de incorrer em inexecução contratual.</w:t>
      </w:r>
    </w:p>
    <w:p w14:paraId="297B9E89">
      <w:pPr>
        <w:autoSpaceDE w:val="0"/>
        <w:autoSpaceDN w:val="0"/>
        <w:adjustRightInd w:val="0"/>
        <w:ind w:left="0" w:leftChars="0" w:firstLine="944" w:firstLineChars="472"/>
        <w:jc w:val="both"/>
        <w:rPr>
          <w:rFonts w:hint="default" w:ascii="Calibri" w:hAnsi="Calibri" w:cs="Calibri"/>
          <w:b w:val="0"/>
          <w:bCs/>
          <w:sz w:val="20"/>
          <w:szCs w:val="20"/>
          <w:highlight w:val="none"/>
        </w:rPr>
      </w:pPr>
      <w:r>
        <w:rPr>
          <w:rFonts w:hint="default" w:ascii="Calibri" w:hAnsi="Calibri" w:cs="Calibri"/>
          <w:b w:val="0"/>
          <w:bCs/>
          <w:sz w:val="20"/>
          <w:szCs w:val="20"/>
          <w:highlight w:val="none"/>
          <w:lang w:val="pt-BR"/>
        </w:rPr>
        <w:t>9.4</w:t>
      </w:r>
      <w:r>
        <w:rPr>
          <w:rFonts w:hint="default" w:ascii="Calibri" w:hAnsi="Calibri" w:cs="Calibri"/>
          <w:b w:val="0"/>
          <w:bCs/>
          <w:sz w:val="20"/>
          <w:szCs w:val="20"/>
          <w:highlight w:val="none"/>
        </w:rPr>
        <w:t xml:space="preserve"> A Administração não efetuará qualquer pagamento antes do recebimento definitivo do objeto</w:t>
      </w:r>
    </w:p>
    <w:p w14:paraId="08C510A4">
      <w:pPr>
        <w:autoSpaceDE w:val="0"/>
        <w:autoSpaceDN w:val="0"/>
        <w:adjustRightInd w:val="0"/>
        <w:ind w:left="0" w:leftChars="0" w:firstLine="944" w:firstLineChars="472"/>
        <w:jc w:val="both"/>
        <w:rPr>
          <w:rFonts w:hint="default" w:ascii="Calibri" w:hAnsi="Calibri" w:cs="Calibri"/>
          <w:b w:val="0"/>
          <w:bCs/>
          <w:sz w:val="20"/>
          <w:szCs w:val="20"/>
          <w:highlight w:val="none"/>
          <w:lang w:val="pt-BR"/>
        </w:rPr>
        <w:sectPr>
          <w:headerReference r:id="rId3" w:type="default"/>
          <w:footerReference r:id="rId4" w:type="default"/>
          <w:pgSz w:w="11907" w:h="16840"/>
          <w:pgMar w:top="584" w:right="986" w:bottom="1134" w:left="1701" w:header="454" w:footer="0" w:gutter="0"/>
          <w:pgBorders>
            <w:top w:val="none" w:sz="0" w:space="0"/>
            <w:left w:val="none" w:sz="0" w:space="0"/>
            <w:bottom w:val="none" w:sz="0" w:space="0"/>
            <w:right w:val="none" w:sz="0" w:space="0"/>
          </w:pgBorders>
          <w:pgNumType w:fmt="decimal"/>
          <w:cols w:space="720" w:num="1"/>
          <w:rtlGutter w:val="0"/>
          <w:docGrid w:linePitch="326" w:charSpace="0"/>
        </w:sectPr>
      </w:pPr>
    </w:p>
    <w:p w14:paraId="3151CBB4">
      <w:pPr>
        <w:shd w:val="clear" w:color="auto" w:fill="F6CBD3"/>
        <w:jc w:val="center"/>
        <w:rPr>
          <w:rFonts w:hint="default" w:ascii="Arial Nova Cond" w:hAnsi="Arial Nova Cond" w:eastAsia="MS Mincho" w:cs="Arial Nova Cond"/>
          <w:sz w:val="26"/>
          <w:szCs w:val="26"/>
          <w:highlight w:val="none"/>
          <w:lang w:val="pt-BR" w:eastAsia="pt-BR" w:bidi="ar-SA"/>
        </w:rPr>
      </w:pPr>
      <w:r>
        <w:rPr>
          <w:rFonts w:hint="default" w:ascii="Arial Nova Cond" w:hAnsi="Arial Nova Cond" w:eastAsia="MS Mincho" w:cs="Arial Nova Cond"/>
          <w:b/>
          <w:color w:val="auto"/>
          <w:sz w:val="26"/>
          <w:szCs w:val="26"/>
          <w:highlight w:val="none"/>
          <w:shd w:val="clear" w:fill="FFA5A5"/>
          <w:lang w:val="pt-BR" w:eastAsia="pt-BR" w:bidi="ar-SA"/>
        </w:rPr>
        <w:t>LOTE</w:t>
      </w:r>
      <w:r>
        <w:rPr>
          <w:rFonts w:hint="default" w:ascii="Arial Nova Cond" w:hAnsi="Arial Nova Cond" w:eastAsia="MS Mincho" w:cs="Arial Nova Cond"/>
          <w:b/>
          <w:color w:val="auto"/>
          <w:sz w:val="26"/>
          <w:szCs w:val="26"/>
          <w:highlight w:val="none"/>
          <w:shd w:val="clear" w:fill="FFA5A5"/>
          <w:lang w:val="en-US" w:eastAsia="pt-BR" w:bidi="ar-SA"/>
        </w:rPr>
        <w:t xml:space="preserve">S 31 AO 39 - </w:t>
      </w:r>
      <w:r>
        <w:rPr>
          <w:rFonts w:hint="default" w:ascii="Arial Nova Cond" w:hAnsi="Arial Nova Cond" w:eastAsia="MS Mincho" w:cs="Arial Nova Cond"/>
          <w:b/>
          <w:bCs/>
          <w:color w:val="auto"/>
          <w:sz w:val="26"/>
          <w:szCs w:val="26"/>
          <w:highlight w:val="none"/>
          <w:u w:val="single"/>
          <w:lang w:val="pt-BR" w:eastAsia="pt-BR" w:bidi="ar-SA"/>
        </w:rPr>
        <w:t>PAR</w:t>
      </w:r>
      <w:r>
        <w:rPr>
          <w:rFonts w:hint="default" w:ascii="Arial Nova Cond" w:hAnsi="Arial Nova Cond" w:eastAsia="MS Mincho" w:cs="Arial Nova Cond"/>
          <w:b/>
          <w:bCs/>
          <w:sz w:val="26"/>
          <w:szCs w:val="26"/>
          <w:highlight w:val="none"/>
          <w:u w:val="single"/>
          <w:lang w:val="pt-BR" w:eastAsia="pt-BR" w:bidi="ar-SA"/>
        </w:rPr>
        <w:t>A PARTICIPAÇÃO EXCLUSIVA: MEI, ME E EPP (obs – vide edital)</w:t>
      </w:r>
    </w:p>
    <w:p w14:paraId="55319F51">
      <w:pPr>
        <w:shd w:val="clear" w:fill="F6CBD3"/>
        <w:autoSpaceDE w:val="0"/>
        <w:autoSpaceDN w:val="0"/>
        <w:adjustRightInd w:val="0"/>
        <w:ind w:left="0" w:leftChars="0" w:firstLine="1133" w:firstLineChars="472"/>
        <w:jc w:val="both"/>
        <w:rPr>
          <w:rFonts w:hint="default" w:ascii="Calibri" w:hAnsi="Calibri" w:cs="Calibri"/>
          <w:b w:val="0"/>
          <w:bCs/>
          <w:sz w:val="20"/>
          <w:szCs w:val="20"/>
          <w:highlight w:val="none"/>
          <w:lang w:val="pt-BR"/>
        </w:rPr>
      </w:pPr>
      <w:r>
        <w:rPr>
          <w:rFonts w:hint="default" w:ascii="Arial Nova Cond" w:hAnsi="Arial Nova Cond" w:cs="Arial Nova Cond"/>
          <w:b/>
          <w:bCs/>
        </w:rPr>
        <w:t>Em não havendo o interesse de participação, de, no mínimo, 03 (três), ME’s</w:t>
      </w:r>
      <w:r>
        <w:rPr>
          <w:rFonts w:hint="default" w:ascii="Arial Nova Cond" w:hAnsi="Arial Nova Cond" w:cs="Arial Nova Cond"/>
          <w:b/>
          <w:bCs/>
          <w:lang w:val="pt-BR"/>
        </w:rPr>
        <w:t xml:space="preserve"> </w:t>
      </w:r>
      <w:r>
        <w:rPr>
          <w:rFonts w:hint="default" w:ascii="Arial Nova Cond" w:hAnsi="Arial Nova Cond" w:cs="Arial Nova Cond"/>
          <w:b/>
          <w:bCs/>
        </w:rPr>
        <w:t>ou</w:t>
      </w:r>
      <w:r>
        <w:rPr>
          <w:rFonts w:hint="default" w:ascii="Arial Nova Cond" w:hAnsi="Arial Nova Cond" w:cs="Arial Nova Cond"/>
          <w:b/>
          <w:bCs/>
          <w:lang w:val="pt-BR"/>
        </w:rPr>
        <w:t xml:space="preserve"> </w:t>
      </w:r>
      <w:r>
        <w:rPr>
          <w:rFonts w:hint="default" w:ascii="Arial Nova Cond" w:hAnsi="Arial Nova Cond" w:cs="Arial Nova Cond"/>
          <w:b/>
          <w:bCs/>
        </w:rPr>
        <w:t xml:space="preserve">EPP’s, será admitida a participação de outras empresas, aplicando-se, outrossim, os critérios de desempate previstos para as ME´S e EPP´s, pelas LC´s 123/06 e 147/14 </w:t>
      </w:r>
    </w:p>
    <w:p w14:paraId="4F98D499">
      <w:pPr>
        <w:pStyle w:val="58"/>
        <w:keepNext w:val="0"/>
        <w:keepLines w:val="0"/>
        <w:pageBreakBefore w:val="0"/>
        <w:widowControl/>
        <w:numPr>
          <w:ilvl w:val="1"/>
          <w:numId w:val="0"/>
        </w:numPr>
        <w:kinsoku/>
        <w:wordWrap/>
        <w:overflowPunct/>
        <w:topLinePunct w:val="0"/>
        <w:autoSpaceDE/>
        <w:autoSpaceDN/>
        <w:bidi w:val="0"/>
        <w:adjustRightInd/>
        <w:snapToGrid/>
        <w:spacing w:before="164" w:beforeLines="50" w:after="0" w:line="240" w:lineRule="auto"/>
        <w:ind w:leftChars="-9"/>
        <w:jc w:val="both"/>
        <w:textAlignment w:val="auto"/>
        <w:rPr>
          <w:rFonts w:hint="default" w:ascii="Calibri" w:hAnsi="Calibri" w:cs="Calibri"/>
          <w:color w:val="auto"/>
          <w:sz w:val="20"/>
          <w:szCs w:val="20"/>
        </w:rPr>
      </w:pPr>
    </w:p>
    <w:tbl>
      <w:tblPr>
        <w:tblStyle w:val="8"/>
        <w:tblW w:w="15410" w:type="dxa"/>
        <w:tblInd w:w="93" w:type="dxa"/>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Layout w:type="fixed"/>
        <w:tblCellMar>
          <w:top w:w="0" w:type="dxa"/>
          <w:left w:w="108" w:type="dxa"/>
          <w:bottom w:w="0" w:type="dxa"/>
          <w:right w:w="108" w:type="dxa"/>
        </w:tblCellMar>
      </w:tblPr>
      <w:tblGrid>
        <w:gridCol w:w="480"/>
        <w:gridCol w:w="448"/>
        <w:gridCol w:w="792"/>
        <w:gridCol w:w="7283"/>
        <w:gridCol w:w="1470"/>
        <w:gridCol w:w="744"/>
        <w:gridCol w:w="1074"/>
        <w:gridCol w:w="1393"/>
        <w:gridCol w:w="1726"/>
      </w:tblGrid>
      <w:tr w14:paraId="22171909">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1134" w:hRule="atLeast"/>
        </w:trPr>
        <w:tc>
          <w:tcPr>
            <w:tcW w:w="480" w:type="dxa"/>
            <w:shd w:val="clear" w:color="auto" w:fill="911527"/>
            <w:textDirection w:val="btLr"/>
            <w:vAlign w:val="center"/>
          </w:tcPr>
          <w:p w14:paraId="4F2A4A5E">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themeColor="background1"/>
                <w:sz w:val="18"/>
                <w:szCs w:val="18"/>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8"/>
                <w:szCs w:val="18"/>
                <w:u w:val="none"/>
                <w:lang w:val="en-US" w:eastAsia="zh-CN" w:bidi="ar"/>
                <w14:textFill>
                  <w14:solidFill>
                    <w14:schemeClr w14:val="bg1"/>
                  </w14:solidFill>
                </w14:textFill>
              </w:rPr>
              <w:t>LOTE</w:t>
            </w:r>
          </w:p>
        </w:tc>
        <w:tc>
          <w:tcPr>
            <w:tcW w:w="448" w:type="dxa"/>
            <w:shd w:val="clear" w:color="auto" w:fill="911527"/>
            <w:textDirection w:val="btLr"/>
            <w:vAlign w:val="center"/>
          </w:tcPr>
          <w:p w14:paraId="16E1B7E0">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ITEM</w:t>
            </w:r>
          </w:p>
        </w:tc>
        <w:tc>
          <w:tcPr>
            <w:tcW w:w="792" w:type="dxa"/>
            <w:shd w:val="clear" w:color="auto" w:fill="911527"/>
            <w:textDirection w:val="btLr"/>
            <w:vAlign w:val="center"/>
          </w:tcPr>
          <w:p w14:paraId="3B8C8332">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COD LC</w:t>
            </w:r>
          </w:p>
        </w:tc>
        <w:tc>
          <w:tcPr>
            <w:tcW w:w="7283" w:type="dxa"/>
            <w:shd w:val="clear" w:color="auto" w:fill="911527"/>
            <w:textDirection w:val="btLr"/>
            <w:vAlign w:val="center"/>
          </w:tcPr>
          <w:p w14:paraId="71485C3A">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DESCRIÇÃO</w:t>
            </w:r>
          </w:p>
        </w:tc>
        <w:tc>
          <w:tcPr>
            <w:tcW w:w="1470" w:type="dxa"/>
            <w:shd w:val="clear" w:color="auto" w:fill="911527"/>
            <w:textDirection w:val="btLr"/>
            <w:vAlign w:val="center"/>
          </w:tcPr>
          <w:p w14:paraId="0C0D1689">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EMBALAGEM MÍNIMA</w:t>
            </w:r>
          </w:p>
        </w:tc>
        <w:tc>
          <w:tcPr>
            <w:tcW w:w="744" w:type="dxa"/>
            <w:shd w:val="clear" w:color="auto" w:fill="911527"/>
            <w:textDirection w:val="btLr"/>
            <w:vAlign w:val="center"/>
          </w:tcPr>
          <w:p w14:paraId="5178308A">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QTD TOTAL</w:t>
            </w:r>
          </w:p>
        </w:tc>
        <w:tc>
          <w:tcPr>
            <w:tcW w:w="1074" w:type="dxa"/>
            <w:shd w:val="clear" w:color="auto" w:fill="911527"/>
            <w:textDirection w:val="btLr"/>
            <w:vAlign w:val="center"/>
          </w:tcPr>
          <w:p w14:paraId="31BE804B">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 xml:space="preserve"> VALOR UNITÁRIO </w:t>
            </w:r>
          </w:p>
        </w:tc>
        <w:tc>
          <w:tcPr>
            <w:tcW w:w="1393" w:type="dxa"/>
            <w:shd w:val="clear" w:color="auto" w:fill="911527"/>
            <w:textDirection w:val="btLr"/>
            <w:vAlign w:val="center"/>
          </w:tcPr>
          <w:p w14:paraId="0983F725">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VALOR TOTAL</w:t>
            </w:r>
          </w:p>
        </w:tc>
        <w:tc>
          <w:tcPr>
            <w:tcW w:w="1726" w:type="dxa"/>
            <w:shd w:val="clear" w:color="auto" w:fill="911527"/>
            <w:vAlign w:val="center"/>
          </w:tcPr>
          <w:p w14:paraId="30F669ED">
            <w:pPr>
              <w:keepNext w:val="0"/>
              <w:keepLines w:val="0"/>
              <w:widowControl/>
              <w:suppressLineNumbers w:val="0"/>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TOTAL DO LOTE</w:t>
            </w:r>
          </w:p>
        </w:tc>
      </w:tr>
      <w:tr w14:paraId="3129E070">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31" w:hRule="atLeast"/>
        </w:trPr>
        <w:tc>
          <w:tcPr>
            <w:tcW w:w="480" w:type="dxa"/>
            <w:shd w:val="clear" w:color="auto" w:fill="FBE4E8"/>
            <w:vAlign w:val="center"/>
          </w:tcPr>
          <w:p w14:paraId="4C5CFA1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01</w:t>
            </w:r>
          </w:p>
        </w:tc>
        <w:tc>
          <w:tcPr>
            <w:tcW w:w="448" w:type="dxa"/>
            <w:shd w:val="clear" w:color="auto" w:fill="FBE4E8"/>
            <w:vAlign w:val="center"/>
          </w:tcPr>
          <w:p w14:paraId="326DB97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006D521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87852</w:t>
            </w:r>
          </w:p>
        </w:tc>
        <w:tc>
          <w:tcPr>
            <w:tcW w:w="7283" w:type="dxa"/>
            <w:shd w:val="clear" w:color="auto" w:fill="FBE4E8"/>
            <w:vAlign w:val="center"/>
          </w:tcPr>
          <w:p w14:paraId="75BBCA8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Café:</w:t>
            </w:r>
            <w:r>
              <w:rPr>
                <w:rFonts w:hint="default" w:ascii="Arial Nova Cond" w:hAnsi="Arial Nova Cond" w:eastAsia="Aptos Narrow" w:cs="Arial Nova Cond"/>
                <w:i w:val="0"/>
                <w:iCs w:val="0"/>
                <w:color w:val="000000"/>
                <w:kern w:val="0"/>
                <w:sz w:val="18"/>
                <w:szCs w:val="18"/>
                <w:u w:val="none"/>
                <w:lang w:val="en-US" w:eastAsia="zh-CN" w:bidi="ar"/>
              </w:rPr>
              <w:t xml:space="preserve"> aspecto em pó; homogêneo; bebida do tipo "dura" ou de melhor qualidade; deve possuir certificação "Tradicional" ou de melhor qualidade, em plena validade, emitida pela ABIC (ou laudo de avaliação emitido por laboratório especializado, com nota de qualidade global mínima de 5,0 pontos na Escala Sensorial do Café).</w:t>
            </w:r>
          </w:p>
        </w:tc>
        <w:tc>
          <w:tcPr>
            <w:tcW w:w="1470" w:type="dxa"/>
            <w:shd w:val="clear" w:color="auto" w:fill="FBE4E8"/>
            <w:vAlign w:val="center"/>
          </w:tcPr>
          <w:p w14:paraId="0F10B26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6B1DD13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5998</w:t>
            </w:r>
          </w:p>
        </w:tc>
        <w:tc>
          <w:tcPr>
            <w:tcW w:w="1074" w:type="dxa"/>
            <w:shd w:val="clear" w:color="auto" w:fill="FBE4E8"/>
            <w:vAlign w:val="center"/>
          </w:tcPr>
          <w:p w14:paraId="6C53A31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R$ 21,04</w:t>
            </w:r>
          </w:p>
        </w:tc>
        <w:tc>
          <w:tcPr>
            <w:tcW w:w="1393" w:type="dxa"/>
            <w:shd w:val="clear" w:color="auto" w:fill="FBE4E8"/>
            <w:vAlign w:val="center"/>
          </w:tcPr>
          <w:p w14:paraId="1BC0D28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R$ 126.197,92</w:t>
            </w:r>
          </w:p>
        </w:tc>
        <w:tc>
          <w:tcPr>
            <w:tcW w:w="1726" w:type="dxa"/>
            <w:shd w:val="clear" w:color="auto" w:fill="FBE4E8"/>
            <w:vAlign w:val="center"/>
          </w:tcPr>
          <w:p w14:paraId="280E267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R$ 126.197,92</w:t>
            </w:r>
          </w:p>
        </w:tc>
      </w:tr>
      <w:tr w14:paraId="600D8AF3">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554" w:hRule="atLeast"/>
        </w:trPr>
        <w:tc>
          <w:tcPr>
            <w:tcW w:w="480" w:type="dxa"/>
            <w:shd w:val="clear" w:color="auto" w:fill="FFFFFF"/>
            <w:vAlign w:val="center"/>
          </w:tcPr>
          <w:p w14:paraId="1E6A103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02</w:t>
            </w:r>
          </w:p>
        </w:tc>
        <w:tc>
          <w:tcPr>
            <w:tcW w:w="448" w:type="dxa"/>
            <w:shd w:val="clear" w:color="auto" w:fill="FFFFFF"/>
            <w:vAlign w:val="center"/>
          </w:tcPr>
          <w:p w14:paraId="0DCC1BB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17FA1C6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87853</w:t>
            </w:r>
          </w:p>
        </w:tc>
        <w:tc>
          <w:tcPr>
            <w:tcW w:w="7283" w:type="dxa"/>
            <w:shd w:val="clear" w:color="auto" w:fill="FFFFFF"/>
            <w:vAlign w:val="center"/>
          </w:tcPr>
          <w:p w14:paraId="64C4FC9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Chá Mate:</w:t>
            </w:r>
            <w:r>
              <w:rPr>
                <w:rFonts w:hint="default" w:ascii="Arial Nova Cond" w:hAnsi="Arial Nova Cond" w:eastAsia="Aptos Narrow" w:cs="Arial Nova Cond"/>
                <w:i w:val="0"/>
                <w:iCs w:val="0"/>
                <w:color w:val="000000"/>
                <w:kern w:val="0"/>
                <w:sz w:val="18"/>
                <w:szCs w:val="18"/>
                <w:u w:val="none"/>
                <w:lang w:val="en-US" w:eastAsia="zh-CN" w:bidi="ar"/>
              </w:rPr>
              <w:t xml:space="preserve"> constituído por folhas, hastes, pecíolos e pedúnculos de erva mate, queimado de forma tradicional,sem coloração artificial e sem mistura com outras ervas.</w:t>
            </w:r>
          </w:p>
        </w:tc>
        <w:tc>
          <w:tcPr>
            <w:tcW w:w="1470" w:type="dxa"/>
            <w:shd w:val="clear" w:color="auto" w:fill="FFFFFF"/>
            <w:vAlign w:val="center"/>
          </w:tcPr>
          <w:p w14:paraId="41FC4FE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250 g</w:t>
            </w:r>
          </w:p>
        </w:tc>
        <w:tc>
          <w:tcPr>
            <w:tcW w:w="744" w:type="dxa"/>
            <w:shd w:val="clear" w:color="auto" w:fill="FFFFFF"/>
            <w:vAlign w:val="center"/>
          </w:tcPr>
          <w:p w14:paraId="72849E3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2781</w:t>
            </w:r>
          </w:p>
        </w:tc>
        <w:tc>
          <w:tcPr>
            <w:tcW w:w="1074" w:type="dxa"/>
            <w:shd w:val="clear" w:color="auto" w:fill="FFFFFF"/>
            <w:vAlign w:val="center"/>
          </w:tcPr>
          <w:p w14:paraId="5C6EF7F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R$ 6,29</w:t>
            </w:r>
          </w:p>
        </w:tc>
        <w:tc>
          <w:tcPr>
            <w:tcW w:w="1393" w:type="dxa"/>
            <w:shd w:val="clear" w:color="auto" w:fill="FFFFFF"/>
            <w:vAlign w:val="center"/>
          </w:tcPr>
          <w:p w14:paraId="132EE00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R$ 17.492,49</w:t>
            </w:r>
          </w:p>
        </w:tc>
        <w:tc>
          <w:tcPr>
            <w:tcW w:w="1726" w:type="dxa"/>
            <w:shd w:val="clear" w:color="auto" w:fill="FFFFFF"/>
            <w:vAlign w:val="center"/>
          </w:tcPr>
          <w:p w14:paraId="74E8053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R$ 17.492,49</w:t>
            </w:r>
          </w:p>
        </w:tc>
      </w:tr>
      <w:tr w14:paraId="5A66952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90" w:hRule="atLeast"/>
        </w:trPr>
        <w:tc>
          <w:tcPr>
            <w:tcW w:w="480" w:type="dxa"/>
            <w:shd w:val="clear" w:color="auto" w:fill="FBE4E8"/>
            <w:vAlign w:val="center"/>
          </w:tcPr>
          <w:p w14:paraId="6087E33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03</w:t>
            </w:r>
          </w:p>
        </w:tc>
        <w:tc>
          <w:tcPr>
            <w:tcW w:w="448" w:type="dxa"/>
            <w:shd w:val="clear" w:color="auto" w:fill="FBE4E8"/>
            <w:vAlign w:val="center"/>
          </w:tcPr>
          <w:p w14:paraId="253C58C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3A60D30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87854</w:t>
            </w:r>
          </w:p>
        </w:tc>
        <w:tc>
          <w:tcPr>
            <w:tcW w:w="7283" w:type="dxa"/>
            <w:shd w:val="clear" w:color="auto" w:fill="FBE4E8"/>
            <w:vAlign w:val="center"/>
          </w:tcPr>
          <w:p w14:paraId="73DFD83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Farinha Láctea: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enriquecida com vitaminas e minerais; validade mínima de 80% do prazo inicial ainda válido, contado a partir da data de entrega; produto deve atender às normas da ANVISA e legislações vigentes.</w:t>
            </w:r>
          </w:p>
        </w:tc>
        <w:tc>
          <w:tcPr>
            <w:tcW w:w="1470" w:type="dxa"/>
            <w:shd w:val="clear" w:color="auto" w:fill="FBE4E8"/>
            <w:vAlign w:val="center"/>
          </w:tcPr>
          <w:p w14:paraId="4BF242E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350 g</w:t>
            </w:r>
          </w:p>
        </w:tc>
        <w:tc>
          <w:tcPr>
            <w:tcW w:w="744" w:type="dxa"/>
            <w:shd w:val="clear" w:color="auto" w:fill="FBE4E8"/>
            <w:vAlign w:val="center"/>
          </w:tcPr>
          <w:p w14:paraId="6316FDA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683AD89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R$ 16,15</w:t>
            </w:r>
          </w:p>
        </w:tc>
        <w:tc>
          <w:tcPr>
            <w:tcW w:w="1393" w:type="dxa"/>
            <w:shd w:val="clear" w:color="auto" w:fill="FBE4E8"/>
            <w:vAlign w:val="center"/>
          </w:tcPr>
          <w:p w14:paraId="383F5B9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R$ 4.037,50</w:t>
            </w:r>
          </w:p>
        </w:tc>
        <w:tc>
          <w:tcPr>
            <w:tcW w:w="1726" w:type="dxa"/>
            <w:shd w:val="clear" w:color="auto" w:fill="FBE4E8"/>
            <w:vAlign w:val="center"/>
          </w:tcPr>
          <w:p w14:paraId="183ECF4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R$ 4.037,50</w:t>
            </w:r>
          </w:p>
        </w:tc>
      </w:tr>
      <w:tr w14:paraId="080F692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57" w:hRule="atLeast"/>
        </w:trPr>
        <w:tc>
          <w:tcPr>
            <w:tcW w:w="480" w:type="dxa"/>
            <w:shd w:val="clear" w:color="auto" w:fill="FFFFFF"/>
            <w:vAlign w:val="center"/>
          </w:tcPr>
          <w:p w14:paraId="36FF5F6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04</w:t>
            </w:r>
          </w:p>
        </w:tc>
        <w:tc>
          <w:tcPr>
            <w:tcW w:w="448" w:type="dxa"/>
            <w:shd w:val="clear" w:color="auto" w:fill="FFFFFF"/>
            <w:vAlign w:val="center"/>
          </w:tcPr>
          <w:p w14:paraId="3F89DD2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0346E65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87855</w:t>
            </w:r>
          </w:p>
        </w:tc>
        <w:tc>
          <w:tcPr>
            <w:tcW w:w="7283" w:type="dxa"/>
            <w:shd w:val="clear" w:color="auto" w:fill="FFFFFF"/>
            <w:vAlign w:val="center"/>
          </w:tcPr>
          <w:p w14:paraId="300B557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Aveia em Flocos:</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validade mínima de 80% do prazo inicial ainda válido, contado a partir da data de entrega; produto deve atender às normas da ANVISA e legislações vigentes.</w:t>
            </w:r>
          </w:p>
        </w:tc>
        <w:tc>
          <w:tcPr>
            <w:tcW w:w="1470" w:type="dxa"/>
            <w:shd w:val="clear" w:color="auto" w:fill="FFFFFF"/>
            <w:vAlign w:val="center"/>
          </w:tcPr>
          <w:p w14:paraId="6D2AA63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150 g</w:t>
            </w:r>
          </w:p>
        </w:tc>
        <w:tc>
          <w:tcPr>
            <w:tcW w:w="744" w:type="dxa"/>
            <w:shd w:val="clear" w:color="auto" w:fill="FFFFFF"/>
            <w:vAlign w:val="center"/>
          </w:tcPr>
          <w:p w14:paraId="10B9080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200</w:t>
            </w:r>
          </w:p>
        </w:tc>
        <w:tc>
          <w:tcPr>
            <w:tcW w:w="1074" w:type="dxa"/>
            <w:shd w:val="clear" w:color="auto" w:fill="FFFFFF"/>
            <w:vAlign w:val="center"/>
          </w:tcPr>
          <w:p w14:paraId="18722DC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R$ 3,96</w:t>
            </w:r>
          </w:p>
        </w:tc>
        <w:tc>
          <w:tcPr>
            <w:tcW w:w="1393" w:type="dxa"/>
            <w:shd w:val="clear" w:color="auto" w:fill="FFFFFF"/>
            <w:vAlign w:val="center"/>
          </w:tcPr>
          <w:p w14:paraId="113621C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R$ 792,00</w:t>
            </w:r>
          </w:p>
        </w:tc>
        <w:tc>
          <w:tcPr>
            <w:tcW w:w="1726" w:type="dxa"/>
            <w:shd w:val="clear" w:color="auto" w:fill="FFFFFF"/>
            <w:vAlign w:val="center"/>
          </w:tcPr>
          <w:p w14:paraId="6610B68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R$ 792,00</w:t>
            </w:r>
          </w:p>
        </w:tc>
      </w:tr>
      <w:tr w14:paraId="514D016C">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66" w:hRule="atLeast"/>
        </w:trPr>
        <w:tc>
          <w:tcPr>
            <w:tcW w:w="480" w:type="dxa"/>
            <w:vMerge w:val="restart"/>
            <w:shd w:val="clear" w:color="auto" w:fill="FBE4E8"/>
            <w:vAlign w:val="center"/>
          </w:tcPr>
          <w:p w14:paraId="0520F57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05</w:t>
            </w:r>
          </w:p>
        </w:tc>
        <w:tc>
          <w:tcPr>
            <w:tcW w:w="448" w:type="dxa"/>
            <w:shd w:val="clear" w:color="auto" w:fill="FBE4E8"/>
            <w:vAlign w:val="center"/>
          </w:tcPr>
          <w:p w14:paraId="5BBE631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61CF752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87856</w:t>
            </w:r>
          </w:p>
        </w:tc>
        <w:tc>
          <w:tcPr>
            <w:tcW w:w="7283" w:type="dxa"/>
            <w:shd w:val="clear" w:color="auto" w:fill="FBE4E8"/>
            <w:vAlign w:val="center"/>
          </w:tcPr>
          <w:p w14:paraId="26566B28">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Farinha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granulometria do tipo flocada; adequada para uso em preparações culinárias como farofas, mingaus e panificação; validade mínima de 80% do prazo inicial ainda válido, contado a partir da data de entrega; produto deve atender às normas da ANVISA e legislações vigentes.</w:t>
            </w:r>
          </w:p>
        </w:tc>
        <w:tc>
          <w:tcPr>
            <w:tcW w:w="1470" w:type="dxa"/>
            <w:shd w:val="clear" w:color="auto" w:fill="FBE4E8"/>
            <w:vAlign w:val="center"/>
          </w:tcPr>
          <w:p w14:paraId="514D3C1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1A48D62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540</w:t>
            </w:r>
          </w:p>
        </w:tc>
        <w:tc>
          <w:tcPr>
            <w:tcW w:w="1074" w:type="dxa"/>
            <w:shd w:val="clear" w:color="auto" w:fill="FBE4E8"/>
            <w:vAlign w:val="center"/>
          </w:tcPr>
          <w:p w14:paraId="3747DA5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R$ 3,43</w:t>
            </w:r>
          </w:p>
        </w:tc>
        <w:tc>
          <w:tcPr>
            <w:tcW w:w="1393" w:type="dxa"/>
            <w:shd w:val="clear" w:color="auto" w:fill="FBE4E8"/>
            <w:vAlign w:val="center"/>
          </w:tcPr>
          <w:p w14:paraId="64F37DB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R$ 1.852,20</w:t>
            </w:r>
          </w:p>
        </w:tc>
        <w:tc>
          <w:tcPr>
            <w:tcW w:w="1726" w:type="dxa"/>
            <w:vMerge w:val="restart"/>
            <w:shd w:val="clear" w:color="auto" w:fill="FBE4E8"/>
            <w:vAlign w:val="center"/>
          </w:tcPr>
          <w:p w14:paraId="138CC44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R$ 12.667,40</w:t>
            </w:r>
          </w:p>
        </w:tc>
      </w:tr>
      <w:tr w14:paraId="7C92DC7A">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90" w:hRule="atLeast"/>
        </w:trPr>
        <w:tc>
          <w:tcPr>
            <w:tcW w:w="480" w:type="dxa"/>
            <w:vMerge w:val="continue"/>
            <w:shd w:val="clear" w:color="auto" w:fill="FBE4E8"/>
            <w:vAlign w:val="center"/>
          </w:tcPr>
          <w:p w14:paraId="4AADDC68">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5D3A0B7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6AA9869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87857</w:t>
            </w:r>
          </w:p>
        </w:tc>
        <w:tc>
          <w:tcPr>
            <w:tcW w:w="7283" w:type="dxa"/>
            <w:shd w:val="clear" w:color="auto" w:fill="FBE4E8"/>
            <w:vAlign w:val="center"/>
          </w:tcPr>
          <w:p w14:paraId="56C0B4DE">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Farinha de Trigo: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granulometria fina; adequada para uso em panificação, confeitaria e outras preparações alimentícias; validade mínima de 80% do prazo inicial ainda válido, contado a partir da data de entrega; produto deve atender às normas da ANVISA e legislações vigentes.</w:t>
            </w:r>
          </w:p>
        </w:tc>
        <w:tc>
          <w:tcPr>
            <w:tcW w:w="1470" w:type="dxa"/>
            <w:shd w:val="clear" w:color="auto" w:fill="FBE4E8"/>
            <w:vAlign w:val="center"/>
          </w:tcPr>
          <w:p w14:paraId="233BEB4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kg</w:t>
            </w:r>
          </w:p>
        </w:tc>
        <w:tc>
          <w:tcPr>
            <w:tcW w:w="744" w:type="dxa"/>
            <w:shd w:val="clear" w:color="auto" w:fill="FBE4E8"/>
            <w:vAlign w:val="center"/>
          </w:tcPr>
          <w:p w14:paraId="29576AD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1040</w:t>
            </w:r>
          </w:p>
        </w:tc>
        <w:tc>
          <w:tcPr>
            <w:tcW w:w="1074" w:type="dxa"/>
            <w:shd w:val="clear" w:color="auto" w:fill="FBE4E8"/>
            <w:vAlign w:val="center"/>
          </w:tcPr>
          <w:p w14:paraId="49A9590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R$ 5,31</w:t>
            </w:r>
          </w:p>
        </w:tc>
        <w:tc>
          <w:tcPr>
            <w:tcW w:w="1393" w:type="dxa"/>
            <w:shd w:val="clear" w:color="auto" w:fill="FBE4E8"/>
            <w:vAlign w:val="center"/>
          </w:tcPr>
          <w:p w14:paraId="6814A0C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R$ 5.522,40</w:t>
            </w:r>
          </w:p>
        </w:tc>
        <w:tc>
          <w:tcPr>
            <w:tcW w:w="1726" w:type="dxa"/>
            <w:vMerge w:val="continue"/>
            <w:shd w:val="clear" w:color="auto" w:fill="FBE4E8"/>
            <w:vAlign w:val="center"/>
          </w:tcPr>
          <w:p w14:paraId="76A9CDE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05EC200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1032" w:hRule="atLeast"/>
        </w:trPr>
        <w:tc>
          <w:tcPr>
            <w:tcW w:w="480" w:type="dxa"/>
            <w:vMerge w:val="continue"/>
            <w:shd w:val="clear" w:color="auto" w:fill="FBE4E8"/>
            <w:vAlign w:val="center"/>
          </w:tcPr>
          <w:p w14:paraId="729A07B8">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7D7354E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1B237FD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87858</w:t>
            </w:r>
          </w:p>
        </w:tc>
        <w:tc>
          <w:tcPr>
            <w:tcW w:w="7283" w:type="dxa"/>
            <w:shd w:val="clear" w:color="auto" w:fill="FBE4E8"/>
            <w:vAlign w:val="center"/>
          </w:tcPr>
          <w:p w14:paraId="2885607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Farinha de Rosca: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granulometria fina; adequada para empanar alimentos e outras preparações culinárias; validade mínima de 80% do prazo inicial ainda válido, contado a partir da data de entrega; produto deve atender às normas da ANVISA e legislações vigentes.</w:t>
            </w:r>
          </w:p>
        </w:tc>
        <w:tc>
          <w:tcPr>
            <w:tcW w:w="1470" w:type="dxa"/>
            <w:shd w:val="clear" w:color="auto" w:fill="FBE4E8"/>
            <w:vAlign w:val="center"/>
          </w:tcPr>
          <w:p w14:paraId="2273645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3DAF7C0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240</w:t>
            </w:r>
          </w:p>
        </w:tc>
        <w:tc>
          <w:tcPr>
            <w:tcW w:w="1074" w:type="dxa"/>
            <w:shd w:val="clear" w:color="auto" w:fill="FBE4E8"/>
            <w:vAlign w:val="center"/>
          </w:tcPr>
          <w:p w14:paraId="31D522F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R$ 7,19</w:t>
            </w:r>
          </w:p>
        </w:tc>
        <w:tc>
          <w:tcPr>
            <w:tcW w:w="1393" w:type="dxa"/>
            <w:shd w:val="clear" w:color="auto" w:fill="FBE4E8"/>
            <w:vAlign w:val="center"/>
          </w:tcPr>
          <w:p w14:paraId="70B3215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R$ 1.725,60</w:t>
            </w:r>
          </w:p>
        </w:tc>
        <w:tc>
          <w:tcPr>
            <w:tcW w:w="1726" w:type="dxa"/>
            <w:vMerge w:val="continue"/>
            <w:shd w:val="clear" w:color="auto" w:fill="FBE4E8"/>
            <w:vAlign w:val="center"/>
          </w:tcPr>
          <w:p w14:paraId="6831DE6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0D1B95A7">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78" w:hRule="atLeast"/>
        </w:trPr>
        <w:tc>
          <w:tcPr>
            <w:tcW w:w="480" w:type="dxa"/>
            <w:vMerge w:val="continue"/>
            <w:shd w:val="clear" w:color="auto" w:fill="FFFFFF"/>
            <w:vAlign w:val="center"/>
          </w:tcPr>
          <w:p w14:paraId="3C714A12">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1EFBC1A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pt-BR" w:eastAsia="zh-CN" w:bidi="ar"/>
              </w:rPr>
              <w:t>4</w:t>
            </w:r>
          </w:p>
        </w:tc>
        <w:tc>
          <w:tcPr>
            <w:tcW w:w="792" w:type="dxa"/>
            <w:shd w:val="clear" w:color="auto" w:fill="FBE4E8"/>
            <w:vAlign w:val="center"/>
          </w:tcPr>
          <w:p w14:paraId="506F972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87859</w:t>
            </w:r>
          </w:p>
        </w:tc>
        <w:tc>
          <w:tcPr>
            <w:tcW w:w="7283" w:type="dxa"/>
            <w:shd w:val="clear" w:color="auto" w:fill="FBE4E8"/>
            <w:vAlign w:val="center"/>
          </w:tcPr>
          <w:p w14:paraId="7049C223">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Fubá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granulometria fina ou média; adequado para uso em preparações culinárias como polenta, mingau e bolos; validade mínima de 80% do prazo inicial ainda válido, contado a partir da data de entrega; produto deve atender às normas da ANVISA e legislações vigentes.</w:t>
            </w:r>
          </w:p>
        </w:tc>
        <w:tc>
          <w:tcPr>
            <w:tcW w:w="1470" w:type="dxa"/>
            <w:shd w:val="clear" w:color="auto" w:fill="FBE4E8"/>
            <w:vAlign w:val="center"/>
          </w:tcPr>
          <w:p w14:paraId="6AC8F9D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4C55227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1040</w:t>
            </w:r>
          </w:p>
        </w:tc>
        <w:tc>
          <w:tcPr>
            <w:tcW w:w="1074" w:type="dxa"/>
            <w:shd w:val="clear" w:color="auto" w:fill="FBE4E8"/>
            <w:vAlign w:val="center"/>
          </w:tcPr>
          <w:p w14:paraId="1ED1AA6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R$ 3,43</w:t>
            </w:r>
          </w:p>
        </w:tc>
        <w:tc>
          <w:tcPr>
            <w:tcW w:w="1393" w:type="dxa"/>
            <w:shd w:val="clear" w:color="auto" w:fill="FBE4E8"/>
            <w:vAlign w:val="center"/>
          </w:tcPr>
          <w:p w14:paraId="01CA0CA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R$ 3.567,20</w:t>
            </w:r>
          </w:p>
        </w:tc>
        <w:tc>
          <w:tcPr>
            <w:tcW w:w="1726" w:type="dxa"/>
            <w:shd w:val="clear" w:color="auto" w:fill="FBE4E8"/>
            <w:vAlign w:val="center"/>
          </w:tcPr>
          <w:p w14:paraId="077FD40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67EF4F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21" w:hRule="atLeast"/>
        </w:trPr>
        <w:tc>
          <w:tcPr>
            <w:tcW w:w="480" w:type="dxa"/>
            <w:shd w:val="clear" w:color="auto" w:fill="FFFFFF"/>
            <w:vAlign w:val="center"/>
          </w:tcPr>
          <w:p w14:paraId="0BDEDBF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06</w:t>
            </w:r>
          </w:p>
        </w:tc>
        <w:tc>
          <w:tcPr>
            <w:tcW w:w="448" w:type="dxa"/>
            <w:shd w:val="clear" w:color="auto" w:fill="FFFFFF"/>
            <w:vAlign w:val="center"/>
          </w:tcPr>
          <w:p w14:paraId="2A1E20D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7D6033B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87860</w:t>
            </w:r>
          </w:p>
        </w:tc>
        <w:tc>
          <w:tcPr>
            <w:tcW w:w="7283" w:type="dxa"/>
            <w:shd w:val="clear" w:color="auto" w:fill="FFFFFF"/>
            <w:vAlign w:val="center"/>
          </w:tcPr>
          <w:p w14:paraId="3478DFE3">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Trigo para Quibe: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preparo de quibe e outras receitas típicas; validade mínima de 80% do prazo inicial ainda válido, contado a partir da data de entrega; produto deve atender às normas da ANVISA e legislações vigentes.</w:t>
            </w:r>
          </w:p>
        </w:tc>
        <w:tc>
          <w:tcPr>
            <w:tcW w:w="1470" w:type="dxa"/>
            <w:shd w:val="clear" w:color="auto" w:fill="FFFFFF"/>
            <w:vAlign w:val="center"/>
          </w:tcPr>
          <w:p w14:paraId="6CE4BA5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FFFFF"/>
            <w:vAlign w:val="center"/>
          </w:tcPr>
          <w:p w14:paraId="1EF2121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140</w:t>
            </w:r>
          </w:p>
        </w:tc>
        <w:tc>
          <w:tcPr>
            <w:tcW w:w="1074" w:type="dxa"/>
            <w:shd w:val="clear" w:color="auto" w:fill="FFFFFF"/>
            <w:vAlign w:val="center"/>
          </w:tcPr>
          <w:p w14:paraId="0C8E1B2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R$ 8,80</w:t>
            </w:r>
          </w:p>
        </w:tc>
        <w:tc>
          <w:tcPr>
            <w:tcW w:w="1393" w:type="dxa"/>
            <w:shd w:val="clear" w:color="auto" w:fill="FFFFFF"/>
            <w:vAlign w:val="center"/>
          </w:tcPr>
          <w:p w14:paraId="1D8B0EC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R$ 1.232,00</w:t>
            </w:r>
          </w:p>
        </w:tc>
        <w:tc>
          <w:tcPr>
            <w:tcW w:w="1726" w:type="dxa"/>
            <w:shd w:val="clear" w:color="auto" w:fill="FFFFFF"/>
            <w:vAlign w:val="center"/>
          </w:tcPr>
          <w:p w14:paraId="6AF9C7A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R$ 1.232,00</w:t>
            </w:r>
          </w:p>
        </w:tc>
      </w:tr>
      <w:tr w14:paraId="64D28A7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37" w:hRule="atLeast"/>
        </w:trPr>
        <w:tc>
          <w:tcPr>
            <w:tcW w:w="480" w:type="dxa"/>
            <w:shd w:val="clear" w:color="auto" w:fill="FBE4E8"/>
            <w:vAlign w:val="center"/>
          </w:tcPr>
          <w:p w14:paraId="16A3CEB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07</w:t>
            </w:r>
          </w:p>
        </w:tc>
        <w:tc>
          <w:tcPr>
            <w:tcW w:w="448" w:type="dxa"/>
            <w:shd w:val="clear" w:color="auto" w:fill="FBE4E8"/>
            <w:vAlign w:val="center"/>
          </w:tcPr>
          <w:p w14:paraId="133EDCE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776C96A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87861</w:t>
            </w:r>
          </w:p>
        </w:tc>
        <w:tc>
          <w:tcPr>
            <w:tcW w:w="7283" w:type="dxa"/>
            <w:shd w:val="clear" w:color="auto" w:fill="FBE4E8"/>
            <w:vAlign w:val="center"/>
          </w:tcPr>
          <w:p w14:paraId="2B64A52A">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Amido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pó branco, fino e solúvel em água; adequado para uso como espessante em preparações culinárias, como cremes, molhos e sobremesas; validade mínima de 80% do prazo inicial ainda válido, contado a partir da data de entrega; produto deve atender às normas da ANVISA e legislações vigentes.</w:t>
            </w:r>
          </w:p>
        </w:tc>
        <w:tc>
          <w:tcPr>
            <w:tcW w:w="1470" w:type="dxa"/>
            <w:shd w:val="clear" w:color="auto" w:fill="FBE4E8"/>
            <w:vAlign w:val="center"/>
          </w:tcPr>
          <w:p w14:paraId="163735E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5C38AAB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440</w:t>
            </w:r>
          </w:p>
        </w:tc>
        <w:tc>
          <w:tcPr>
            <w:tcW w:w="1074" w:type="dxa"/>
            <w:shd w:val="clear" w:color="auto" w:fill="FBE4E8"/>
            <w:vAlign w:val="center"/>
          </w:tcPr>
          <w:p w14:paraId="7906E6A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R$ 7,48</w:t>
            </w:r>
          </w:p>
        </w:tc>
        <w:tc>
          <w:tcPr>
            <w:tcW w:w="1393" w:type="dxa"/>
            <w:shd w:val="clear" w:color="auto" w:fill="FBE4E8"/>
            <w:vAlign w:val="center"/>
          </w:tcPr>
          <w:p w14:paraId="32706A8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R$ 3.291,20</w:t>
            </w:r>
          </w:p>
        </w:tc>
        <w:tc>
          <w:tcPr>
            <w:tcW w:w="1726" w:type="dxa"/>
            <w:shd w:val="clear" w:color="auto" w:fill="FBE4E8"/>
            <w:vAlign w:val="center"/>
          </w:tcPr>
          <w:p w14:paraId="3190ED4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R$ 3.291,20</w:t>
            </w:r>
          </w:p>
        </w:tc>
      </w:tr>
      <w:tr w14:paraId="51EC9DD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724" w:hRule="atLeast"/>
        </w:trPr>
        <w:tc>
          <w:tcPr>
            <w:tcW w:w="480" w:type="dxa"/>
            <w:vMerge w:val="restart"/>
            <w:shd w:val="clear" w:color="auto" w:fill="FFFFFF"/>
            <w:vAlign w:val="center"/>
          </w:tcPr>
          <w:p w14:paraId="6B87F54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08</w:t>
            </w:r>
          </w:p>
        </w:tc>
        <w:tc>
          <w:tcPr>
            <w:tcW w:w="448" w:type="dxa"/>
            <w:shd w:val="clear" w:color="auto" w:fill="FFFFFF"/>
            <w:vAlign w:val="center"/>
          </w:tcPr>
          <w:p w14:paraId="78ECF81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08E45B2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87862</w:t>
            </w:r>
          </w:p>
        </w:tc>
        <w:tc>
          <w:tcPr>
            <w:tcW w:w="7283" w:type="dxa"/>
            <w:shd w:val="clear" w:color="auto" w:fill="FFFFFF"/>
            <w:vAlign w:val="center"/>
          </w:tcPr>
          <w:p w14:paraId="63DE0D14">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Leite em Pó Integral:</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alimentícias, como bebidas, sobremesas e receitas culinárias; validade mínima de 80% do prazo inicial ainda válido, contado a partir da data de entrega; produto deve atender às normas da ANVISA e legislações vigentes.</w:t>
            </w:r>
          </w:p>
        </w:tc>
        <w:tc>
          <w:tcPr>
            <w:tcW w:w="1470" w:type="dxa"/>
            <w:shd w:val="clear" w:color="auto" w:fill="FFFFFF"/>
            <w:vAlign w:val="center"/>
          </w:tcPr>
          <w:p w14:paraId="66641AC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400 g</w:t>
            </w:r>
          </w:p>
        </w:tc>
        <w:tc>
          <w:tcPr>
            <w:tcW w:w="744" w:type="dxa"/>
            <w:shd w:val="clear" w:color="auto" w:fill="FFFFFF"/>
            <w:vAlign w:val="center"/>
          </w:tcPr>
          <w:p w14:paraId="23194F1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510</w:t>
            </w:r>
          </w:p>
        </w:tc>
        <w:tc>
          <w:tcPr>
            <w:tcW w:w="1074" w:type="dxa"/>
            <w:shd w:val="clear" w:color="auto" w:fill="FFFFFF"/>
            <w:vAlign w:val="center"/>
          </w:tcPr>
          <w:p w14:paraId="3BBDFE8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R$ 18,30</w:t>
            </w:r>
          </w:p>
        </w:tc>
        <w:tc>
          <w:tcPr>
            <w:tcW w:w="1393" w:type="dxa"/>
            <w:shd w:val="clear" w:color="auto" w:fill="FFFFFF"/>
            <w:vAlign w:val="center"/>
          </w:tcPr>
          <w:p w14:paraId="46322C4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R$ 9.333,00</w:t>
            </w:r>
          </w:p>
        </w:tc>
        <w:tc>
          <w:tcPr>
            <w:tcW w:w="1726" w:type="dxa"/>
            <w:vMerge w:val="restart"/>
            <w:shd w:val="clear" w:color="auto" w:fill="FFFFFF"/>
            <w:vAlign w:val="center"/>
          </w:tcPr>
          <w:p w14:paraId="08AD68C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R$ 15.680,50</w:t>
            </w:r>
          </w:p>
        </w:tc>
      </w:tr>
      <w:tr w14:paraId="641A7068">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784" w:hRule="atLeast"/>
        </w:trPr>
        <w:tc>
          <w:tcPr>
            <w:tcW w:w="480" w:type="dxa"/>
            <w:vMerge w:val="continue"/>
            <w:shd w:val="clear" w:color="auto" w:fill="FFFFFF"/>
            <w:vAlign w:val="center"/>
          </w:tcPr>
          <w:p w14:paraId="24DFD687">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0531F35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pt-BR" w:eastAsia="zh-CN" w:bidi="ar"/>
              </w:rPr>
              <w:t>2</w:t>
            </w:r>
          </w:p>
        </w:tc>
        <w:tc>
          <w:tcPr>
            <w:tcW w:w="792" w:type="dxa"/>
            <w:shd w:val="clear" w:color="auto" w:fill="FFFFFF"/>
            <w:vAlign w:val="center"/>
          </w:tcPr>
          <w:p w14:paraId="286372E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87863</w:t>
            </w:r>
          </w:p>
        </w:tc>
        <w:tc>
          <w:tcPr>
            <w:tcW w:w="7283" w:type="dxa"/>
            <w:shd w:val="clear" w:color="auto" w:fill="FFFFFF"/>
            <w:vAlign w:val="center"/>
          </w:tcPr>
          <w:p w14:paraId="6E833086">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Leite em Pó Sem Lactose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sem lactose; adequado para uso em preparações alimentícias, como bebidas, sobremesas e receitas culinárias; validade mínima de 80% do prazo inicial ainda válido, contado a partir da data de entrega; produto deve atender às normas da ANVISA e legislações vigentes.</w:t>
            </w:r>
          </w:p>
        </w:tc>
        <w:tc>
          <w:tcPr>
            <w:tcW w:w="1470" w:type="dxa"/>
            <w:shd w:val="clear" w:color="auto" w:fill="FFFFFF"/>
            <w:vAlign w:val="center"/>
          </w:tcPr>
          <w:p w14:paraId="310DEA0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400 g</w:t>
            </w:r>
          </w:p>
        </w:tc>
        <w:tc>
          <w:tcPr>
            <w:tcW w:w="744" w:type="dxa"/>
            <w:shd w:val="clear" w:color="auto" w:fill="FFFFFF"/>
            <w:vAlign w:val="center"/>
          </w:tcPr>
          <w:p w14:paraId="4133A09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FFFFF"/>
            <w:vAlign w:val="center"/>
          </w:tcPr>
          <w:p w14:paraId="5B05DF4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R$ 25,39</w:t>
            </w:r>
          </w:p>
        </w:tc>
        <w:tc>
          <w:tcPr>
            <w:tcW w:w="1393" w:type="dxa"/>
            <w:shd w:val="clear" w:color="auto" w:fill="FFFFFF"/>
            <w:vAlign w:val="center"/>
          </w:tcPr>
          <w:p w14:paraId="4638B73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R$ 6.347,50</w:t>
            </w:r>
          </w:p>
        </w:tc>
        <w:tc>
          <w:tcPr>
            <w:tcW w:w="1726" w:type="dxa"/>
            <w:vMerge w:val="continue"/>
            <w:shd w:val="clear" w:color="auto" w:fill="FFFFFF"/>
            <w:vAlign w:val="center"/>
          </w:tcPr>
          <w:p w14:paraId="296ADE4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76F1839">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66" w:hRule="atLeast"/>
        </w:trPr>
        <w:tc>
          <w:tcPr>
            <w:tcW w:w="480" w:type="dxa"/>
            <w:shd w:val="clear" w:color="auto" w:fill="FBE4E8"/>
            <w:vAlign w:val="center"/>
          </w:tcPr>
          <w:p w14:paraId="5F8A242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09</w:t>
            </w:r>
          </w:p>
        </w:tc>
        <w:tc>
          <w:tcPr>
            <w:tcW w:w="448" w:type="dxa"/>
            <w:shd w:val="clear" w:color="auto" w:fill="FBE4E8"/>
            <w:vAlign w:val="center"/>
          </w:tcPr>
          <w:p w14:paraId="498A230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59C6088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87864</w:t>
            </w:r>
          </w:p>
        </w:tc>
        <w:tc>
          <w:tcPr>
            <w:tcW w:w="7283" w:type="dxa"/>
            <w:shd w:val="clear" w:color="auto" w:fill="FBE4E8"/>
            <w:vAlign w:val="center"/>
          </w:tcPr>
          <w:p w14:paraId="50CD4772">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Complemento Alimentar (tipo Sustagen):</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suplementação nutricional; adequado para uso em dietas que necessitam de reforço alimentar; validade mínima de 80% do prazo inicial ainda válido, contado a partir da data de entrega; produto deve atender às normas da ANVISA e legislações vigentes.</w:t>
            </w:r>
          </w:p>
        </w:tc>
        <w:tc>
          <w:tcPr>
            <w:tcW w:w="1470" w:type="dxa"/>
            <w:shd w:val="clear" w:color="auto" w:fill="FBE4E8"/>
            <w:vAlign w:val="center"/>
          </w:tcPr>
          <w:p w14:paraId="15B0385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350 g</w:t>
            </w:r>
          </w:p>
        </w:tc>
        <w:tc>
          <w:tcPr>
            <w:tcW w:w="744" w:type="dxa"/>
            <w:shd w:val="clear" w:color="auto" w:fill="FBE4E8"/>
            <w:vAlign w:val="center"/>
          </w:tcPr>
          <w:p w14:paraId="2468B83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6DA409B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R$ 33,70</w:t>
            </w:r>
          </w:p>
        </w:tc>
        <w:tc>
          <w:tcPr>
            <w:tcW w:w="1393" w:type="dxa"/>
            <w:shd w:val="clear" w:color="auto" w:fill="FBE4E8"/>
            <w:vAlign w:val="center"/>
          </w:tcPr>
          <w:p w14:paraId="53927CC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R$ 8.425,00</w:t>
            </w:r>
          </w:p>
        </w:tc>
        <w:tc>
          <w:tcPr>
            <w:tcW w:w="1726" w:type="dxa"/>
            <w:shd w:val="clear" w:color="auto" w:fill="FBE4E8"/>
            <w:vAlign w:val="center"/>
          </w:tcPr>
          <w:p w14:paraId="1FB8DE2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R$ 8.425,00</w:t>
            </w:r>
          </w:p>
        </w:tc>
      </w:tr>
      <w:tr w14:paraId="25937C57">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295" w:hRule="atLeast"/>
        </w:trPr>
        <w:tc>
          <w:tcPr>
            <w:tcW w:w="480" w:type="dxa"/>
            <w:shd w:val="clear" w:color="auto" w:fill="FFFFFF"/>
            <w:vAlign w:val="center"/>
          </w:tcPr>
          <w:p w14:paraId="04BC879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10</w:t>
            </w:r>
          </w:p>
        </w:tc>
        <w:tc>
          <w:tcPr>
            <w:tcW w:w="448" w:type="dxa"/>
            <w:shd w:val="clear" w:color="auto" w:fill="FFFFFF"/>
            <w:vAlign w:val="center"/>
          </w:tcPr>
          <w:p w14:paraId="63CD679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125F9C1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87865</w:t>
            </w:r>
          </w:p>
        </w:tc>
        <w:tc>
          <w:tcPr>
            <w:tcW w:w="7283" w:type="dxa"/>
            <w:shd w:val="clear" w:color="auto" w:fill="FFFFFF"/>
            <w:vAlign w:val="center"/>
          </w:tcPr>
          <w:p w14:paraId="32625C47">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Molho de Tomate: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massas, pizzas e pratos diversos; validade mínima de 80% do prazo inicial ainda válido, contado a partir da data de entrega; produto deve atender às normas da ANVISA e legislações vigentes.</w:t>
            </w:r>
          </w:p>
        </w:tc>
        <w:tc>
          <w:tcPr>
            <w:tcW w:w="1470" w:type="dxa"/>
            <w:shd w:val="clear" w:color="auto" w:fill="FFFFFF"/>
            <w:vAlign w:val="center"/>
          </w:tcPr>
          <w:p w14:paraId="5AE5870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300 g</w:t>
            </w:r>
          </w:p>
        </w:tc>
        <w:tc>
          <w:tcPr>
            <w:tcW w:w="744" w:type="dxa"/>
            <w:shd w:val="clear" w:color="auto" w:fill="FFFFFF"/>
            <w:vAlign w:val="center"/>
          </w:tcPr>
          <w:p w14:paraId="7BFC137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5168</w:t>
            </w:r>
          </w:p>
        </w:tc>
        <w:tc>
          <w:tcPr>
            <w:tcW w:w="1074" w:type="dxa"/>
            <w:shd w:val="clear" w:color="auto" w:fill="FFFFFF"/>
            <w:vAlign w:val="center"/>
          </w:tcPr>
          <w:p w14:paraId="07FAB08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R$ 1,82</w:t>
            </w:r>
          </w:p>
        </w:tc>
        <w:tc>
          <w:tcPr>
            <w:tcW w:w="1393" w:type="dxa"/>
            <w:shd w:val="clear" w:color="auto" w:fill="FFFFFF"/>
            <w:vAlign w:val="center"/>
          </w:tcPr>
          <w:p w14:paraId="3CF35C2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R$ 9.405,76</w:t>
            </w:r>
          </w:p>
        </w:tc>
        <w:tc>
          <w:tcPr>
            <w:tcW w:w="1726" w:type="dxa"/>
            <w:shd w:val="clear" w:color="auto" w:fill="FFFFFF"/>
            <w:vAlign w:val="center"/>
          </w:tcPr>
          <w:p w14:paraId="16D60F3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R$ 9.405,76</w:t>
            </w:r>
          </w:p>
        </w:tc>
      </w:tr>
      <w:tr w14:paraId="6883C5EE">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543" w:hRule="atLeast"/>
        </w:trPr>
        <w:tc>
          <w:tcPr>
            <w:tcW w:w="480" w:type="dxa"/>
            <w:vMerge w:val="restart"/>
            <w:shd w:val="clear" w:color="auto" w:fill="FBE4E8"/>
            <w:vAlign w:val="center"/>
          </w:tcPr>
          <w:p w14:paraId="1007923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11</w:t>
            </w:r>
          </w:p>
        </w:tc>
        <w:tc>
          <w:tcPr>
            <w:tcW w:w="448" w:type="dxa"/>
            <w:shd w:val="clear" w:color="auto" w:fill="FBE4E8"/>
            <w:vAlign w:val="center"/>
          </w:tcPr>
          <w:p w14:paraId="291A4E2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1196B53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87866</w:t>
            </w:r>
          </w:p>
        </w:tc>
        <w:tc>
          <w:tcPr>
            <w:tcW w:w="7283" w:type="dxa"/>
            <w:shd w:val="clear" w:color="auto" w:fill="FBE4E8"/>
            <w:vAlign w:val="center"/>
          </w:tcPr>
          <w:p w14:paraId="228D45B1">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Ketchup:</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lanches, hambúrgueres e batatas fritas; validade mínima de 80% do pazo inicial ainda válido, contado a partir da data de entrega; produto deve atender às normas da ANVISA e legislações vigentes.</w:t>
            </w:r>
          </w:p>
        </w:tc>
        <w:tc>
          <w:tcPr>
            <w:tcW w:w="1470" w:type="dxa"/>
            <w:shd w:val="clear" w:color="auto" w:fill="FBE4E8"/>
            <w:vAlign w:val="center"/>
          </w:tcPr>
          <w:p w14:paraId="38F693C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400 g</w:t>
            </w:r>
          </w:p>
        </w:tc>
        <w:tc>
          <w:tcPr>
            <w:tcW w:w="744" w:type="dxa"/>
            <w:shd w:val="clear" w:color="auto" w:fill="FBE4E8"/>
            <w:vAlign w:val="center"/>
          </w:tcPr>
          <w:p w14:paraId="2FD4A8A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600</w:t>
            </w:r>
          </w:p>
        </w:tc>
        <w:tc>
          <w:tcPr>
            <w:tcW w:w="1074" w:type="dxa"/>
            <w:shd w:val="clear" w:color="auto" w:fill="FBE4E8"/>
            <w:vAlign w:val="center"/>
          </w:tcPr>
          <w:p w14:paraId="22D66FE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R$ 6,57</w:t>
            </w:r>
          </w:p>
        </w:tc>
        <w:tc>
          <w:tcPr>
            <w:tcW w:w="1393" w:type="dxa"/>
            <w:shd w:val="clear" w:color="auto" w:fill="FBE4E8"/>
            <w:vAlign w:val="center"/>
          </w:tcPr>
          <w:p w14:paraId="10AE19B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R$ 3.942,00</w:t>
            </w:r>
          </w:p>
        </w:tc>
        <w:tc>
          <w:tcPr>
            <w:tcW w:w="1726" w:type="dxa"/>
            <w:vMerge w:val="restart"/>
            <w:shd w:val="clear" w:color="auto" w:fill="FBE4E8"/>
            <w:vAlign w:val="center"/>
          </w:tcPr>
          <w:p w14:paraId="5EC1F5C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R$ 11.093,45</w:t>
            </w:r>
          </w:p>
        </w:tc>
      </w:tr>
      <w:tr w14:paraId="5ECC1308">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32" w:hRule="atLeast"/>
        </w:trPr>
        <w:tc>
          <w:tcPr>
            <w:tcW w:w="480" w:type="dxa"/>
            <w:vMerge w:val="continue"/>
            <w:shd w:val="clear" w:color="auto" w:fill="FBE4E8"/>
            <w:vAlign w:val="center"/>
          </w:tcPr>
          <w:p w14:paraId="00E1E991">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3BFF085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1A6B1D4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87867</w:t>
            </w:r>
          </w:p>
        </w:tc>
        <w:tc>
          <w:tcPr>
            <w:tcW w:w="7283" w:type="dxa"/>
            <w:shd w:val="clear" w:color="auto" w:fill="FBE4E8"/>
            <w:vAlign w:val="center"/>
          </w:tcPr>
          <w:p w14:paraId="32C716D9">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Mostarda: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lanches, sanduíches e saladas; validade mínima de 80% do prazo inicial ainda válido, contado a partir da data de entrega; produto deve atender às normas da ANVISA e legislações vigentes.</w:t>
            </w:r>
          </w:p>
        </w:tc>
        <w:tc>
          <w:tcPr>
            <w:tcW w:w="1470" w:type="dxa"/>
            <w:shd w:val="clear" w:color="auto" w:fill="FBE4E8"/>
            <w:vAlign w:val="center"/>
          </w:tcPr>
          <w:p w14:paraId="666942B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180 g</w:t>
            </w:r>
          </w:p>
        </w:tc>
        <w:tc>
          <w:tcPr>
            <w:tcW w:w="744" w:type="dxa"/>
            <w:shd w:val="clear" w:color="auto" w:fill="FBE4E8"/>
            <w:vAlign w:val="center"/>
          </w:tcPr>
          <w:p w14:paraId="636E2BB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555</w:t>
            </w:r>
          </w:p>
        </w:tc>
        <w:tc>
          <w:tcPr>
            <w:tcW w:w="1074" w:type="dxa"/>
            <w:shd w:val="clear" w:color="auto" w:fill="FBE4E8"/>
            <w:vAlign w:val="center"/>
          </w:tcPr>
          <w:p w14:paraId="79FD1A1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R$ 4,87</w:t>
            </w:r>
          </w:p>
        </w:tc>
        <w:tc>
          <w:tcPr>
            <w:tcW w:w="1393" w:type="dxa"/>
            <w:shd w:val="clear" w:color="auto" w:fill="FBE4E8"/>
            <w:vAlign w:val="center"/>
          </w:tcPr>
          <w:p w14:paraId="3F5565C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R$ 2.702,85</w:t>
            </w:r>
          </w:p>
        </w:tc>
        <w:tc>
          <w:tcPr>
            <w:tcW w:w="1726" w:type="dxa"/>
            <w:vMerge w:val="continue"/>
            <w:shd w:val="clear" w:color="auto" w:fill="FBE4E8"/>
            <w:vAlign w:val="center"/>
          </w:tcPr>
          <w:p w14:paraId="447388E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3AFCEF9">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15" w:hRule="atLeast"/>
        </w:trPr>
        <w:tc>
          <w:tcPr>
            <w:tcW w:w="480" w:type="dxa"/>
            <w:vMerge w:val="continue"/>
            <w:shd w:val="clear" w:color="auto" w:fill="FBE4E8"/>
            <w:vAlign w:val="center"/>
          </w:tcPr>
          <w:p w14:paraId="1F6C9422">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309F20D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3FA736C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87868</w:t>
            </w:r>
          </w:p>
        </w:tc>
        <w:tc>
          <w:tcPr>
            <w:tcW w:w="7283" w:type="dxa"/>
            <w:shd w:val="clear" w:color="auto" w:fill="FBE4E8"/>
            <w:vAlign w:val="center"/>
          </w:tcPr>
          <w:p w14:paraId="69313EC6">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Maionese: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sanduíches, saladas e pratos frios; validade mínima de 80% do prazo inicial ainda válido, contado a partir da data de entrega; produto deve atender às normas da ANVISA e legislações vigentes.</w:t>
            </w:r>
          </w:p>
        </w:tc>
        <w:tc>
          <w:tcPr>
            <w:tcW w:w="1470" w:type="dxa"/>
            <w:shd w:val="clear" w:color="auto" w:fill="FBE4E8"/>
            <w:vAlign w:val="center"/>
          </w:tcPr>
          <w:p w14:paraId="696C8D4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19FF0CD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580</w:t>
            </w:r>
          </w:p>
        </w:tc>
        <w:tc>
          <w:tcPr>
            <w:tcW w:w="1074" w:type="dxa"/>
            <w:shd w:val="clear" w:color="auto" w:fill="FBE4E8"/>
            <w:vAlign w:val="center"/>
          </w:tcPr>
          <w:p w14:paraId="6A58AB7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R$ 7,67</w:t>
            </w:r>
          </w:p>
        </w:tc>
        <w:tc>
          <w:tcPr>
            <w:tcW w:w="1393" w:type="dxa"/>
            <w:shd w:val="clear" w:color="auto" w:fill="FBE4E8"/>
            <w:vAlign w:val="center"/>
          </w:tcPr>
          <w:p w14:paraId="48CFA16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R$ 4.448,60</w:t>
            </w:r>
          </w:p>
        </w:tc>
        <w:tc>
          <w:tcPr>
            <w:tcW w:w="1726" w:type="dxa"/>
            <w:vMerge w:val="continue"/>
            <w:shd w:val="clear" w:color="auto" w:fill="FBE4E8"/>
            <w:vAlign w:val="center"/>
          </w:tcPr>
          <w:p w14:paraId="522E8B8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7E94C4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654" w:hRule="atLeast"/>
        </w:trPr>
        <w:tc>
          <w:tcPr>
            <w:tcW w:w="480" w:type="dxa"/>
            <w:shd w:val="clear" w:color="auto" w:fill="FFFFFF"/>
            <w:vAlign w:val="center"/>
          </w:tcPr>
          <w:p w14:paraId="453AC4E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12</w:t>
            </w:r>
          </w:p>
        </w:tc>
        <w:tc>
          <w:tcPr>
            <w:tcW w:w="448" w:type="dxa"/>
            <w:shd w:val="clear" w:color="auto" w:fill="FFFFFF"/>
            <w:vAlign w:val="center"/>
          </w:tcPr>
          <w:p w14:paraId="51D3335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1361496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87869</w:t>
            </w:r>
          </w:p>
        </w:tc>
        <w:tc>
          <w:tcPr>
            <w:tcW w:w="7283" w:type="dxa"/>
            <w:shd w:val="clear" w:color="auto" w:fill="FFFFFF"/>
            <w:vAlign w:val="center"/>
          </w:tcPr>
          <w:p w14:paraId="595406BC">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Molho de Pimenta: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carnes, petiscos e pratos apimentados; validade mínima de 80% do prazo inicial ainda válido, contado a partir da data de entrega; produto deve atender às normas da ANVISA e legislações vigentes.</w:t>
            </w:r>
          </w:p>
        </w:tc>
        <w:tc>
          <w:tcPr>
            <w:tcW w:w="1470" w:type="dxa"/>
            <w:shd w:val="clear" w:color="auto" w:fill="FFFFFF"/>
            <w:vAlign w:val="center"/>
          </w:tcPr>
          <w:p w14:paraId="45E1CB0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145 g</w:t>
            </w:r>
          </w:p>
        </w:tc>
        <w:tc>
          <w:tcPr>
            <w:tcW w:w="744" w:type="dxa"/>
            <w:shd w:val="clear" w:color="auto" w:fill="FFFFFF"/>
            <w:vAlign w:val="center"/>
          </w:tcPr>
          <w:p w14:paraId="3150B70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w:t>
            </w:r>
          </w:p>
        </w:tc>
        <w:tc>
          <w:tcPr>
            <w:tcW w:w="1074" w:type="dxa"/>
            <w:shd w:val="clear" w:color="auto" w:fill="FFFFFF"/>
            <w:vAlign w:val="center"/>
          </w:tcPr>
          <w:p w14:paraId="6D9749C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R$ 4,44</w:t>
            </w:r>
          </w:p>
        </w:tc>
        <w:tc>
          <w:tcPr>
            <w:tcW w:w="1393" w:type="dxa"/>
            <w:shd w:val="clear" w:color="auto" w:fill="FFFFFF"/>
            <w:vAlign w:val="center"/>
          </w:tcPr>
          <w:p w14:paraId="55368A2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R$ 444,00</w:t>
            </w:r>
          </w:p>
        </w:tc>
        <w:tc>
          <w:tcPr>
            <w:tcW w:w="1726" w:type="dxa"/>
            <w:shd w:val="clear" w:color="auto" w:fill="FFFFFF"/>
            <w:vAlign w:val="center"/>
          </w:tcPr>
          <w:p w14:paraId="188022C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R$ 444,00</w:t>
            </w:r>
          </w:p>
        </w:tc>
      </w:tr>
      <w:tr w14:paraId="43A4441A">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54" w:hRule="atLeast"/>
        </w:trPr>
        <w:tc>
          <w:tcPr>
            <w:tcW w:w="480" w:type="dxa"/>
            <w:vMerge w:val="restart"/>
            <w:shd w:val="clear" w:color="auto" w:fill="FBE4E8"/>
            <w:vAlign w:val="center"/>
          </w:tcPr>
          <w:p w14:paraId="316832F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13</w:t>
            </w:r>
          </w:p>
        </w:tc>
        <w:tc>
          <w:tcPr>
            <w:tcW w:w="448" w:type="dxa"/>
            <w:shd w:val="clear" w:color="auto" w:fill="FBE4E8"/>
            <w:vAlign w:val="center"/>
          </w:tcPr>
          <w:p w14:paraId="04AA6F3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41B2507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87870</w:t>
            </w:r>
          </w:p>
        </w:tc>
        <w:tc>
          <w:tcPr>
            <w:tcW w:w="7283" w:type="dxa"/>
            <w:shd w:val="clear" w:color="auto" w:fill="FBE4E8"/>
            <w:vAlign w:val="center"/>
          </w:tcPr>
          <w:p w14:paraId="5E724F48">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Concentrado (Caju):</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sobremesas e receitas diversas; validade mínima de 80% do prazo inicial ainda válido, contado a partir da data de entrega; produto deve atender às normas da ANVISA e legislações vigentes.</w:t>
            </w:r>
          </w:p>
        </w:tc>
        <w:tc>
          <w:tcPr>
            <w:tcW w:w="1470" w:type="dxa"/>
            <w:shd w:val="clear" w:color="auto" w:fill="FBE4E8"/>
            <w:vAlign w:val="center"/>
          </w:tcPr>
          <w:p w14:paraId="3A32869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mL</w:t>
            </w:r>
          </w:p>
        </w:tc>
        <w:tc>
          <w:tcPr>
            <w:tcW w:w="744" w:type="dxa"/>
            <w:shd w:val="clear" w:color="auto" w:fill="FBE4E8"/>
            <w:vAlign w:val="center"/>
          </w:tcPr>
          <w:p w14:paraId="474AEEB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1620</w:t>
            </w:r>
          </w:p>
        </w:tc>
        <w:tc>
          <w:tcPr>
            <w:tcW w:w="1074" w:type="dxa"/>
            <w:shd w:val="clear" w:color="auto" w:fill="FBE4E8"/>
            <w:vAlign w:val="center"/>
          </w:tcPr>
          <w:p w14:paraId="419CCFE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R$ 5,00</w:t>
            </w:r>
          </w:p>
        </w:tc>
        <w:tc>
          <w:tcPr>
            <w:tcW w:w="1393" w:type="dxa"/>
            <w:shd w:val="clear" w:color="auto" w:fill="FBE4E8"/>
            <w:vAlign w:val="center"/>
          </w:tcPr>
          <w:p w14:paraId="3163756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R$ 8.100,00</w:t>
            </w:r>
          </w:p>
        </w:tc>
        <w:tc>
          <w:tcPr>
            <w:tcW w:w="1726" w:type="dxa"/>
            <w:vMerge w:val="restart"/>
            <w:shd w:val="clear" w:color="auto" w:fill="FBE4E8"/>
            <w:vAlign w:val="center"/>
          </w:tcPr>
          <w:p w14:paraId="11FD5FB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R$ 34.068,60</w:t>
            </w:r>
          </w:p>
        </w:tc>
      </w:tr>
      <w:tr w14:paraId="1933A398">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43" w:hRule="atLeast"/>
        </w:trPr>
        <w:tc>
          <w:tcPr>
            <w:tcW w:w="480" w:type="dxa"/>
            <w:vMerge w:val="continue"/>
            <w:shd w:val="clear" w:color="auto" w:fill="FBE4E8"/>
            <w:vAlign w:val="center"/>
          </w:tcPr>
          <w:p w14:paraId="6289E2ED">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007FB7F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5A2DCE1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87871</w:t>
            </w:r>
          </w:p>
        </w:tc>
        <w:tc>
          <w:tcPr>
            <w:tcW w:w="7283" w:type="dxa"/>
            <w:shd w:val="clear" w:color="auto" w:fill="FBE4E8"/>
            <w:vAlign w:val="center"/>
          </w:tcPr>
          <w:p w14:paraId="0C984928">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Concentrado (Maracujá):</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sobremesas e receitas diversas; validade mínima de 80% do prazo inicial ainda válido, contado a partir da data de entrega; produto deve atender às normas da ANVISA e legislações vigentes.</w:t>
            </w:r>
          </w:p>
        </w:tc>
        <w:tc>
          <w:tcPr>
            <w:tcW w:w="1470" w:type="dxa"/>
            <w:shd w:val="clear" w:color="auto" w:fill="FBE4E8"/>
            <w:vAlign w:val="center"/>
          </w:tcPr>
          <w:p w14:paraId="573495E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mL</w:t>
            </w:r>
          </w:p>
        </w:tc>
        <w:tc>
          <w:tcPr>
            <w:tcW w:w="744" w:type="dxa"/>
            <w:shd w:val="clear" w:color="auto" w:fill="FBE4E8"/>
            <w:vAlign w:val="center"/>
          </w:tcPr>
          <w:p w14:paraId="2E62A38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1620</w:t>
            </w:r>
          </w:p>
        </w:tc>
        <w:tc>
          <w:tcPr>
            <w:tcW w:w="1074" w:type="dxa"/>
            <w:shd w:val="clear" w:color="auto" w:fill="FBE4E8"/>
            <w:vAlign w:val="center"/>
          </w:tcPr>
          <w:p w14:paraId="42BBCBC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R$ 10,09</w:t>
            </w:r>
          </w:p>
        </w:tc>
        <w:tc>
          <w:tcPr>
            <w:tcW w:w="1393" w:type="dxa"/>
            <w:shd w:val="clear" w:color="auto" w:fill="FBE4E8"/>
            <w:vAlign w:val="center"/>
          </w:tcPr>
          <w:p w14:paraId="5C5F80F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R$ 16.345,80</w:t>
            </w:r>
          </w:p>
        </w:tc>
        <w:tc>
          <w:tcPr>
            <w:tcW w:w="1726" w:type="dxa"/>
            <w:vMerge w:val="continue"/>
            <w:shd w:val="clear" w:color="auto" w:fill="FBE4E8"/>
            <w:vAlign w:val="center"/>
          </w:tcPr>
          <w:p w14:paraId="0DFAC0F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2548207">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47" w:hRule="atLeast"/>
        </w:trPr>
        <w:tc>
          <w:tcPr>
            <w:tcW w:w="480" w:type="dxa"/>
            <w:vMerge w:val="continue"/>
            <w:shd w:val="clear" w:color="auto" w:fill="FBE4E8"/>
            <w:vAlign w:val="center"/>
          </w:tcPr>
          <w:p w14:paraId="777528B2">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6C1DA34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2CE665E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87872</w:t>
            </w:r>
          </w:p>
        </w:tc>
        <w:tc>
          <w:tcPr>
            <w:tcW w:w="7283" w:type="dxa"/>
            <w:shd w:val="clear" w:color="auto" w:fill="FBE4E8"/>
            <w:vAlign w:val="center"/>
          </w:tcPr>
          <w:p w14:paraId="7F456D42">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Concentrado (Uva):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sobremesas e receitas diversas; sabores diversos, incluindo: caju, maracujá e uva; validade mínima de 80% do prazo inicial ainda válido, contado a partir da data de entrega; produto deve atender às normas da ANVISA e legislações vigentes.</w:t>
            </w:r>
          </w:p>
        </w:tc>
        <w:tc>
          <w:tcPr>
            <w:tcW w:w="1470" w:type="dxa"/>
            <w:shd w:val="clear" w:color="auto" w:fill="FBE4E8"/>
            <w:vAlign w:val="center"/>
          </w:tcPr>
          <w:p w14:paraId="38753B7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mL</w:t>
            </w:r>
          </w:p>
        </w:tc>
        <w:tc>
          <w:tcPr>
            <w:tcW w:w="744" w:type="dxa"/>
            <w:shd w:val="clear" w:color="auto" w:fill="FBE4E8"/>
            <w:vAlign w:val="center"/>
          </w:tcPr>
          <w:p w14:paraId="417C2F6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1620</w:t>
            </w:r>
          </w:p>
        </w:tc>
        <w:tc>
          <w:tcPr>
            <w:tcW w:w="1074" w:type="dxa"/>
            <w:shd w:val="clear" w:color="auto" w:fill="FBE4E8"/>
            <w:vAlign w:val="center"/>
          </w:tcPr>
          <w:p w14:paraId="3742CE6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R$ 5,94</w:t>
            </w:r>
          </w:p>
        </w:tc>
        <w:tc>
          <w:tcPr>
            <w:tcW w:w="1393" w:type="dxa"/>
            <w:shd w:val="clear" w:color="auto" w:fill="FBE4E8"/>
            <w:vAlign w:val="center"/>
          </w:tcPr>
          <w:p w14:paraId="29CF84C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R$ 9.622,80</w:t>
            </w:r>
          </w:p>
        </w:tc>
        <w:tc>
          <w:tcPr>
            <w:tcW w:w="1726" w:type="dxa"/>
            <w:vMerge w:val="continue"/>
            <w:shd w:val="clear" w:color="auto" w:fill="FBE4E8"/>
            <w:vAlign w:val="center"/>
          </w:tcPr>
          <w:p w14:paraId="2A1FC46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6B86ABC">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92" w:hRule="atLeast"/>
        </w:trPr>
        <w:tc>
          <w:tcPr>
            <w:tcW w:w="480" w:type="dxa"/>
            <w:vMerge w:val="restart"/>
            <w:shd w:val="clear" w:color="auto" w:fill="FFFFFF"/>
            <w:vAlign w:val="center"/>
          </w:tcPr>
          <w:p w14:paraId="67AF739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14</w:t>
            </w:r>
          </w:p>
        </w:tc>
        <w:tc>
          <w:tcPr>
            <w:tcW w:w="448" w:type="dxa"/>
            <w:shd w:val="clear" w:color="auto" w:fill="FFFFFF"/>
            <w:vAlign w:val="center"/>
          </w:tcPr>
          <w:p w14:paraId="1DDA3E5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5BF527F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87873</w:t>
            </w:r>
          </w:p>
        </w:tc>
        <w:tc>
          <w:tcPr>
            <w:tcW w:w="7283" w:type="dxa"/>
            <w:shd w:val="clear" w:color="auto" w:fill="FFFFFF"/>
            <w:vAlign w:val="center"/>
          </w:tcPr>
          <w:p w14:paraId="70BEDF86">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Néctar da Fruta (200 mL):</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e sobremesas; sabores diversos, incluindo: maracujá, uva, laranja, entre outros; validade mínima de 80% do prazo inicial ainda válido, contado a partir da data de entrega; produto deve atender às normas da ANVISA e legislações vigentes.</w:t>
            </w:r>
          </w:p>
        </w:tc>
        <w:tc>
          <w:tcPr>
            <w:tcW w:w="1470" w:type="dxa"/>
            <w:shd w:val="clear" w:color="auto" w:fill="FFFFFF"/>
            <w:vAlign w:val="center"/>
          </w:tcPr>
          <w:p w14:paraId="2805B2A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mL</w:t>
            </w:r>
          </w:p>
        </w:tc>
        <w:tc>
          <w:tcPr>
            <w:tcW w:w="744" w:type="dxa"/>
            <w:shd w:val="clear" w:color="auto" w:fill="FFFFFF"/>
            <w:vAlign w:val="center"/>
          </w:tcPr>
          <w:p w14:paraId="107607C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3000</w:t>
            </w:r>
          </w:p>
        </w:tc>
        <w:tc>
          <w:tcPr>
            <w:tcW w:w="1074" w:type="dxa"/>
            <w:shd w:val="clear" w:color="auto" w:fill="FFFFFF"/>
            <w:vAlign w:val="center"/>
          </w:tcPr>
          <w:p w14:paraId="18A7960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R$ 1,74</w:t>
            </w:r>
          </w:p>
        </w:tc>
        <w:tc>
          <w:tcPr>
            <w:tcW w:w="1393" w:type="dxa"/>
            <w:shd w:val="clear" w:color="auto" w:fill="FFFFFF"/>
            <w:vAlign w:val="center"/>
          </w:tcPr>
          <w:p w14:paraId="6EC6FF2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R$ 5.220,00</w:t>
            </w:r>
          </w:p>
        </w:tc>
        <w:tc>
          <w:tcPr>
            <w:tcW w:w="1726" w:type="dxa"/>
            <w:vMerge w:val="restart"/>
            <w:shd w:val="clear" w:color="auto" w:fill="FFFFFF"/>
            <w:vAlign w:val="center"/>
          </w:tcPr>
          <w:p w14:paraId="3A7AF7D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R$ 16.158,20</w:t>
            </w:r>
          </w:p>
        </w:tc>
      </w:tr>
      <w:tr w14:paraId="2263AD6B">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81" w:hRule="atLeast"/>
        </w:trPr>
        <w:tc>
          <w:tcPr>
            <w:tcW w:w="480" w:type="dxa"/>
            <w:vMerge w:val="continue"/>
            <w:shd w:val="clear" w:color="auto" w:fill="FFFFFF"/>
            <w:vAlign w:val="center"/>
          </w:tcPr>
          <w:p w14:paraId="0D1DF2E6">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75EC5C7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FFFFF"/>
            <w:vAlign w:val="center"/>
          </w:tcPr>
          <w:p w14:paraId="7EDF8FD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87874</w:t>
            </w:r>
          </w:p>
        </w:tc>
        <w:tc>
          <w:tcPr>
            <w:tcW w:w="7283" w:type="dxa"/>
            <w:shd w:val="clear" w:color="auto" w:fill="FFFFFF"/>
            <w:vAlign w:val="center"/>
          </w:tcPr>
          <w:p w14:paraId="665815D5">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de Néctar da Fruta (1 L):</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e sobremesas; sabores diversos, incluindo: maracujá, uva, laranja, entre outros; validade mínima de 80% do prazo inicial ainda válido, contado a partir da data de entrega; produto deve atender às normas da ANVISA e legislações vigentes.</w:t>
            </w:r>
          </w:p>
        </w:tc>
        <w:tc>
          <w:tcPr>
            <w:tcW w:w="1470" w:type="dxa"/>
            <w:shd w:val="clear" w:color="auto" w:fill="FFFFFF"/>
            <w:vAlign w:val="center"/>
          </w:tcPr>
          <w:p w14:paraId="35F6B0E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L</w:t>
            </w:r>
          </w:p>
        </w:tc>
        <w:tc>
          <w:tcPr>
            <w:tcW w:w="744" w:type="dxa"/>
            <w:shd w:val="clear" w:color="auto" w:fill="FFFFFF"/>
            <w:vAlign w:val="center"/>
          </w:tcPr>
          <w:p w14:paraId="7F2CB65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1820</w:t>
            </w:r>
          </w:p>
        </w:tc>
        <w:tc>
          <w:tcPr>
            <w:tcW w:w="1074" w:type="dxa"/>
            <w:shd w:val="clear" w:color="auto" w:fill="FFFFFF"/>
            <w:vAlign w:val="center"/>
          </w:tcPr>
          <w:p w14:paraId="30145ED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R$ 6,01</w:t>
            </w:r>
          </w:p>
        </w:tc>
        <w:tc>
          <w:tcPr>
            <w:tcW w:w="1393" w:type="dxa"/>
            <w:shd w:val="clear" w:color="auto" w:fill="FFFFFF"/>
            <w:vAlign w:val="center"/>
          </w:tcPr>
          <w:p w14:paraId="3D924CA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R$ 10.938,20</w:t>
            </w:r>
          </w:p>
        </w:tc>
        <w:tc>
          <w:tcPr>
            <w:tcW w:w="1726" w:type="dxa"/>
            <w:vMerge w:val="continue"/>
            <w:shd w:val="clear" w:color="auto" w:fill="FFFFFF"/>
            <w:vAlign w:val="center"/>
          </w:tcPr>
          <w:p w14:paraId="76DE1F4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E0A178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19" w:hRule="atLeast"/>
        </w:trPr>
        <w:tc>
          <w:tcPr>
            <w:tcW w:w="480" w:type="dxa"/>
            <w:vMerge w:val="restart"/>
            <w:shd w:val="clear" w:color="auto" w:fill="FBE4E8"/>
            <w:vAlign w:val="center"/>
          </w:tcPr>
          <w:p w14:paraId="1AD67B9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15</w:t>
            </w:r>
          </w:p>
        </w:tc>
        <w:tc>
          <w:tcPr>
            <w:tcW w:w="448" w:type="dxa"/>
            <w:shd w:val="clear" w:color="auto" w:fill="FBE4E8"/>
            <w:vAlign w:val="center"/>
          </w:tcPr>
          <w:p w14:paraId="0E0D4B3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1</w:t>
            </w:r>
          </w:p>
        </w:tc>
        <w:tc>
          <w:tcPr>
            <w:tcW w:w="792" w:type="dxa"/>
            <w:shd w:val="clear" w:color="auto" w:fill="FBE4E8"/>
            <w:vAlign w:val="center"/>
          </w:tcPr>
          <w:p w14:paraId="7A303E2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en-US" w:eastAsia="zh-CN" w:bidi="ar"/>
              </w:rPr>
              <w:t>8787</w:t>
            </w:r>
            <w:r>
              <w:rPr>
                <w:rFonts w:hint="default" w:ascii="Arial Nova Cond" w:hAnsi="Arial Nova Cond" w:eastAsia="Aptos Narrow" w:cs="Arial Nova Cond"/>
                <w:b w:val="0"/>
                <w:bCs w:val="0"/>
                <w:i w:val="0"/>
                <w:iCs w:val="0"/>
                <w:color w:val="000000"/>
                <w:kern w:val="0"/>
                <w:sz w:val="18"/>
                <w:szCs w:val="18"/>
                <w:u w:val="none"/>
                <w:lang w:val="pt-BR" w:eastAsia="zh-CN" w:bidi="ar"/>
              </w:rPr>
              <w:t>5</w:t>
            </w:r>
          </w:p>
        </w:tc>
        <w:tc>
          <w:tcPr>
            <w:tcW w:w="7283" w:type="dxa"/>
            <w:shd w:val="clear" w:color="auto" w:fill="FBE4E8"/>
            <w:vAlign w:val="center"/>
          </w:tcPr>
          <w:p w14:paraId="5FB9B585">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Gelatina Dietética: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sobremesas, mousses e pratos dietéticos; sabores diversos; validade mínima de 80% do prazo inicial ainda válido, contado a partir da data de entrega; produto deve atender às normas da ANVISA e legislações vigentes.</w:t>
            </w:r>
          </w:p>
        </w:tc>
        <w:tc>
          <w:tcPr>
            <w:tcW w:w="1470" w:type="dxa"/>
            <w:shd w:val="clear" w:color="auto" w:fill="FBE4E8"/>
            <w:vAlign w:val="center"/>
          </w:tcPr>
          <w:p w14:paraId="12BF0E4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12 g</w:t>
            </w:r>
          </w:p>
        </w:tc>
        <w:tc>
          <w:tcPr>
            <w:tcW w:w="744" w:type="dxa"/>
            <w:shd w:val="clear" w:color="auto" w:fill="FBE4E8"/>
            <w:vAlign w:val="center"/>
          </w:tcPr>
          <w:p w14:paraId="2E24B11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1500</w:t>
            </w:r>
          </w:p>
        </w:tc>
        <w:tc>
          <w:tcPr>
            <w:tcW w:w="1074" w:type="dxa"/>
            <w:shd w:val="clear" w:color="auto" w:fill="FBE4E8"/>
            <w:vAlign w:val="center"/>
          </w:tcPr>
          <w:p w14:paraId="4A924D6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R$ 3,98</w:t>
            </w:r>
          </w:p>
        </w:tc>
        <w:tc>
          <w:tcPr>
            <w:tcW w:w="1393" w:type="dxa"/>
            <w:shd w:val="clear" w:color="auto" w:fill="FBE4E8"/>
            <w:vAlign w:val="center"/>
          </w:tcPr>
          <w:p w14:paraId="57221A1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R$ 5.970,00</w:t>
            </w:r>
          </w:p>
        </w:tc>
        <w:tc>
          <w:tcPr>
            <w:tcW w:w="1726" w:type="dxa"/>
            <w:vMerge w:val="restart"/>
            <w:shd w:val="clear" w:color="auto" w:fill="FBE4E8"/>
            <w:vAlign w:val="center"/>
          </w:tcPr>
          <w:p w14:paraId="5DAF8E9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R$ 22.561,00</w:t>
            </w:r>
          </w:p>
        </w:tc>
      </w:tr>
      <w:tr w14:paraId="4164CAE3">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268" w:hRule="atLeast"/>
        </w:trPr>
        <w:tc>
          <w:tcPr>
            <w:tcW w:w="480" w:type="dxa"/>
            <w:vMerge w:val="continue"/>
            <w:shd w:val="clear" w:color="auto" w:fill="FBE4E8"/>
            <w:vAlign w:val="center"/>
          </w:tcPr>
          <w:p w14:paraId="1A6EE37F">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324ADEF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3BE8756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en-US" w:eastAsia="zh-CN" w:bidi="ar"/>
              </w:rPr>
              <w:t>8787</w:t>
            </w:r>
            <w:r>
              <w:rPr>
                <w:rFonts w:hint="default" w:ascii="Arial Nova Cond" w:hAnsi="Arial Nova Cond" w:eastAsia="Aptos Narrow" w:cs="Arial Nova Cond"/>
                <w:b w:val="0"/>
                <w:bCs w:val="0"/>
                <w:i w:val="0"/>
                <w:iCs w:val="0"/>
                <w:color w:val="000000"/>
                <w:kern w:val="0"/>
                <w:sz w:val="18"/>
                <w:szCs w:val="18"/>
                <w:u w:val="none"/>
                <w:lang w:val="pt-BR" w:eastAsia="zh-CN" w:bidi="ar"/>
              </w:rPr>
              <w:t>6</w:t>
            </w:r>
          </w:p>
        </w:tc>
        <w:tc>
          <w:tcPr>
            <w:tcW w:w="7283" w:type="dxa"/>
            <w:shd w:val="clear" w:color="auto" w:fill="FBE4E8"/>
            <w:vAlign w:val="center"/>
          </w:tcPr>
          <w:p w14:paraId="28E86E70">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Gelatina: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sobremesas, mousses e outros pratos doces; validade mínima de 80% do prazo inicial ainda válido, contado a partir da data de entrega; produto deve atender às normas da ANVISA e legislações vigentes.</w:t>
            </w:r>
          </w:p>
        </w:tc>
        <w:tc>
          <w:tcPr>
            <w:tcW w:w="1470" w:type="dxa"/>
            <w:shd w:val="clear" w:color="auto" w:fill="FBE4E8"/>
            <w:vAlign w:val="center"/>
          </w:tcPr>
          <w:p w14:paraId="474EA3A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20g</w:t>
            </w:r>
          </w:p>
        </w:tc>
        <w:tc>
          <w:tcPr>
            <w:tcW w:w="744" w:type="dxa"/>
            <w:shd w:val="clear" w:color="auto" w:fill="FBE4E8"/>
            <w:vAlign w:val="center"/>
          </w:tcPr>
          <w:p w14:paraId="2FD37C4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10000</w:t>
            </w:r>
          </w:p>
        </w:tc>
        <w:tc>
          <w:tcPr>
            <w:tcW w:w="1074" w:type="dxa"/>
            <w:shd w:val="clear" w:color="auto" w:fill="FBE4E8"/>
            <w:vAlign w:val="center"/>
          </w:tcPr>
          <w:p w14:paraId="7FB99F3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R$ 1,57</w:t>
            </w:r>
          </w:p>
        </w:tc>
        <w:tc>
          <w:tcPr>
            <w:tcW w:w="1393" w:type="dxa"/>
            <w:shd w:val="clear" w:color="auto" w:fill="FBE4E8"/>
            <w:vAlign w:val="center"/>
          </w:tcPr>
          <w:p w14:paraId="3C12F62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R$ 15.700,00</w:t>
            </w:r>
          </w:p>
        </w:tc>
        <w:tc>
          <w:tcPr>
            <w:tcW w:w="1726" w:type="dxa"/>
            <w:vMerge w:val="continue"/>
            <w:shd w:val="clear" w:color="auto" w:fill="FBE4E8"/>
            <w:vAlign w:val="center"/>
          </w:tcPr>
          <w:p w14:paraId="1803A70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0F5EAAC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30" w:hRule="atLeast"/>
        </w:trPr>
        <w:tc>
          <w:tcPr>
            <w:tcW w:w="480" w:type="dxa"/>
            <w:vMerge w:val="continue"/>
            <w:shd w:val="clear" w:color="auto" w:fill="FBE4E8"/>
            <w:vAlign w:val="center"/>
          </w:tcPr>
          <w:p w14:paraId="03D743B3">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7A34107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72FA1AD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en-US" w:eastAsia="zh-CN" w:bidi="ar"/>
              </w:rPr>
              <w:t>8787</w:t>
            </w:r>
            <w:r>
              <w:rPr>
                <w:rFonts w:hint="default" w:ascii="Arial Nova Cond" w:hAnsi="Arial Nova Cond" w:eastAsia="Aptos Narrow" w:cs="Arial Nova Cond"/>
                <w:b w:val="0"/>
                <w:bCs w:val="0"/>
                <w:i w:val="0"/>
                <w:iCs w:val="0"/>
                <w:color w:val="000000"/>
                <w:kern w:val="0"/>
                <w:sz w:val="18"/>
                <w:szCs w:val="18"/>
                <w:u w:val="none"/>
                <w:lang w:val="pt-BR" w:eastAsia="zh-CN" w:bidi="ar"/>
              </w:rPr>
              <w:t>7</w:t>
            </w:r>
          </w:p>
        </w:tc>
        <w:tc>
          <w:tcPr>
            <w:tcW w:w="7283" w:type="dxa"/>
            <w:shd w:val="clear" w:color="auto" w:fill="FBE4E8"/>
            <w:vAlign w:val="center"/>
          </w:tcPr>
          <w:p w14:paraId="202ED7EB">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Gelatina Sem Sabor:</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sobremesas, mousses, e outros pratos que necessitem de gelificação; validade mínima de 80% do prazo inicial ainda válido, contado a partir da data de entrega; produto deve atender às normas da ANVISA e legislações vigentes.</w:t>
            </w:r>
          </w:p>
        </w:tc>
        <w:tc>
          <w:tcPr>
            <w:tcW w:w="1470" w:type="dxa"/>
            <w:shd w:val="clear" w:color="auto" w:fill="FBE4E8"/>
            <w:vAlign w:val="center"/>
          </w:tcPr>
          <w:p w14:paraId="46E8D32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12 g</w:t>
            </w:r>
          </w:p>
        </w:tc>
        <w:tc>
          <w:tcPr>
            <w:tcW w:w="744" w:type="dxa"/>
            <w:shd w:val="clear" w:color="auto" w:fill="FBE4E8"/>
            <w:vAlign w:val="center"/>
          </w:tcPr>
          <w:p w14:paraId="0E29232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300</w:t>
            </w:r>
          </w:p>
        </w:tc>
        <w:tc>
          <w:tcPr>
            <w:tcW w:w="1074" w:type="dxa"/>
            <w:shd w:val="clear" w:color="auto" w:fill="FBE4E8"/>
            <w:vAlign w:val="center"/>
          </w:tcPr>
          <w:p w14:paraId="6B8C922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R$ 2,97</w:t>
            </w:r>
          </w:p>
        </w:tc>
        <w:tc>
          <w:tcPr>
            <w:tcW w:w="1393" w:type="dxa"/>
            <w:shd w:val="clear" w:color="auto" w:fill="FBE4E8"/>
            <w:vAlign w:val="center"/>
          </w:tcPr>
          <w:p w14:paraId="1416AC2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R$ 891,00</w:t>
            </w:r>
          </w:p>
        </w:tc>
        <w:tc>
          <w:tcPr>
            <w:tcW w:w="1726" w:type="dxa"/>
            <w:vMerge w:val="continue"/>
            <w:shd w:val="clear" w:color="auto" w:fill="FBE4E8"/>
            <w:vAlign w:val="center"/>
          </w:tcPr>
          <w:p w14:paraId="343F7FF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179370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PrEx>
        <w:trPr>
          <w:trHeight w:val="767" w:hRule="atLeast"/>
        </w:trPr>
        <w:tc>
          <w:tcPr>
            <w:tcW w:w="480" w:type="dxa"/>
            <w:shd w:val="clear" w:color="auto" w:fill="FFFFFF"/>
            <w:vAlign w:val="center"/>
          </w:tcPr>
          <w:p w14:paraId="32D447F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16</w:t>
            </w:r>
          </w:p>
        </w:tc>
        <w:tc>
          <w:tcPr>
            <w:tcW w:w="448" w:type="dxa"/>
            <w:shd w:val="clear" w:color="auto" w:fill="FFFFFF"/>
            <w:vAlign w:val="center"/>
          </w:tcPr>
          <w:p w14:paraId="65A730D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6830C31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87878</w:t>
            </w:r>
          </w:p>
        </w:tc>
        <w:tc>
          <w:tcPr>
            <w:tcW w:w="7283" w:type="dxa"/>
            <w:shd w:val="clear" w:color="auto" w:fill="FFFFFF"/>
            <w:vAlign w:val="center"/>
          </w:tcPr>
          <w:p w14:paraId="1679CEC3">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Ovos Brancos de Galinha:</w:t>
            </w:r>
            <w:r>
              <w:rPr>
                <w:rFonts w:hint="default" w:ascii="Arial Nova Cond" w:hAnsi="Arial Nova Cond" w:eastAsia="Aptos Narrow" w:cs="Arial Nova Cond"/>
                <w:i w:val="0"/>
                <w:iCs w:val="0"/>
                <w:color w:val="000000"/>
                <w:kern w:val="0"/>
                <w:sz w:val="18"/>
                <w:szCs w:val="18"/>
                <w:u w:val="none"/>
                <w:lang w:val="en-US" w:eastAsia="zh-CN" w:bidi="ar"/>
              </w:rPr>
              <w:t xml:space="preserve"> de acordo com o permitido pela legislação vigente; adequados para uso em preparações culinárias, como bolos, tortas, omeletes e outros pratos; validade mínima de 80% do prazo inicial ainda válido, contado a partir da data de entrega; produto deve atender às normas da ANVISA e legislações vigentes.</w:t>
            </w:r>
          </w:p>
        </w:tc>
        <w:tc>
          <w:tcPr>
            <w:tcW w:w="1470" w:type="dxa"/>
            <w:shd w:val="clear" w:color="auto" w:fill="FFFFFF"/>
            <w:vAlign w:val="center"/>
          </w:tcPr>
          <w:p w14:paraId="0BE0B7E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Dúzia</w:t>
            </w:r>
          </w:p>
        </w:tc>
        <w:tc>
          <w:tcPr>
            <w:tcW w:w="744" w:type="dxa"/>
            <w:shd w:val="clear" w:color="auto" w:fill="FFFFFF"/>
            <w:vAlign w:val="center"/>
          </w:tcPr>
          <w:p w14:paraId="3D83ECA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2010</w:t>
            </w:r>
          </w:p>
        </w:tc>
        <w:tc>
          <w:tcPr>
            <w:tcW w:w="1074" w:type="dxa"/>
            <w:shd w:val="clear" w:color="auto" w:fill="FFFFFF"/>
            <w:vAlign w:val="center"/>
          </w:tcPr>
          <w:p w14:paraId="4FE6A5E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R$ 10,45</w:t>
            </w:r>
          </w:p>
        </w:tc>
        <w:tc>
          <w:tcPr>
            <w:tcW w:w="1393" w:type="dxa"/>
            <w:shd w:val="clear" w:color="auto" w:fill="FFFFFF"/>
            <w:vAlign w:val="center"/>
          </w:tcPr>
          <w:p w14:paraId="2EEFE2D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R$ 21.004,50</w:t>
            </w:r>
          </w:p>
        </w:tc>
        <w:tc>
          <w:tcPr>
            <w:tcW w:w="1726" w:type="dxa"/>
            <w:shd w:val="clear" w:color="auto" w:fill="FFFFFF"/>
            <w:vAlign w:val="center"/>
          </w:tcPr>
          <w:p w14:paraId="10F2D72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R$ 21.004,50</w:t>
            </w:r>
          </w:p>
        </w:tc>
      </w:tr>
      <w:tr w14:paraId="3AB73578">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814" w:hRule="atLeast"/>
        </w:trPr>
        <w:tc>
          <w:tcPr>
            <w:tcW w:w="480" w:type="dxa"/>
            <w:shd w:val="clear" w:color="auto" w:fill="FBE4E8"/>
            <w:vAlign w:val="center"/>
          </w:tcPr>
          <w:p w14:paraId="1D8EDE7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17</w:t>
            </w:r>
          </w:p>
        </w:tc>
        <w:tc>
          <w:tcPr>
            <w:tcW w:w="448" w:type="dxa"/>
            <w:shd w:val="clear" w:color="auto" w:fill="FBE4E8"/>
            <w:vAlign w:val="center"/>
          </w:tcPr>
          <w:p w14:paraId="514F92F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0695179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87879</w:t>
            </w:r>
          </w:p>
        </w:tc>
        <w:tc>
          <w:tcPr>
            <w:tcW w:w="7283" w:type="dxa"/>
            <w:shd w:val="clear" w:color="auto" w:fill="FBE4E8"/>
            <w:vAlign w:val="center"/>
          </w:tcPr>
          <w:p w14:paraId="49A43701">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Leite de Coco: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sobremesas e afins; validade mínima de 80% do prazo inicial ainda válido, contado a partir da data de entrega; produto deve atender às normas da ANVISA e legislações vigentes.</w:t>
            </w:r>
          </w:p>
        </w:tc>
        <w:tc>
          <w:tcPr>
            <w:tcW w:w="1470" w:type="dxa"/>
            <w:shd w:val="clear" w:color="auto" w:fill="FBE4E8"/>
            <w:vAlign w:val="center"/>
          </w:tcPr>
          <w:p w14:paraId="1C51D81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mL</w:t>
            </w:r>
          </w:p>
        </w:tc>
        <w:tc>
          <w:tcPr>
            <w:tcW w:w="744" w:type="dxa"/>
            <w:shd w:val="clear" w:color="auto" w:fill="FBE4E8"/>
            <w:vAlign w:val="center"/>
          </w:tcPr>
          <w:p w14:paraId="4273493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510</w:t>
            </w:r>
          </w:p>
        </w:tc>
        <w:tc>
          <w:tcPr>
            <w:tcW w:w="1074" w:type="dxa"/>
            <w:shd w:val="clear" w:color="auto" w:fill="FBE4E8"/>
            <w:vAlign w:val="center"/>
          </w:tcPr>
          <w:p w14:paraId="7BA0422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R$ 3,67</w:t>
            </w:r>
          </w:p>
        </w:tc>
        <w:tc>
          <w:tcPr>
            <w:tcW w:w="1393" w:type="dxa"/>
            <w:shd w:val="clear" w:color="auto" w:fill="FBE4E8"/>
            <w:vAlign w:val="center"/>
          </w:tcPr>
          <w:p w14:paraId="4B8225E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R$ 1.871,70</w:t>
            </w:r>
          </w:p>
        </w:tc>
        <w:tc>
          <w:tcPr>
            <w:tcW w:w="1726" w:type="dxa"/>
            <w:shd w:val="clear" w:color="auto" w:fill="FBE4E8"/>
            <w:vAlign w:val="center"/>
          </w:tcPr>
          <w:p w14:paraId="0F2DB28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R$ 1.871,70</w:t>
            </w:r>
          </w:p>
        </w:tc>
      </w:tr>
      <w:tr w14:paraId="65FD8BC8">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588" w:hRule="atLeast"/>
        </w:trPr>
        <w:tc>
          <w:tcPr>
            <w:tcW w:w="480" w:type="dxa"/>
            <w:shd w:val="clear" w:color="auto" w:fill="FFFFFF"/>
            <w:vAlign w:val="center"/>
          </w:tcPr>
          <w:p w14:paraId="0499C0E9">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18</w:t>
            </w:r>
          </w:p>
        </w:tc>
        <w:tc>
          <w:tcPr>
            <w:tcW w:w="448" w:type="dxa"/>
            <w:shd w:val="clear" w:color="auto" w:fill="FFFFFF"/>
            <w:vAlign w:val="center"/>
          </w:tcPr>
          <w:p w14:paraId="2A8A522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709C661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87880</w:t>
            </w:r>
          </w:p>
        </w:tc>
        <w:tc>
          <w:tcPr>
            <w:tcW w:w="7283" w:type="dxa"/>
            <w:shd w:val="clear" w:color="auto" w:fill="FFFFFF"/>
            <w:vAlign w:val="center"/>
          </w:tcPr>
          <w:p w14:paraId="30F8CE91">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Achocolatado em Pó:</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pó fino, de cor marrom escuro, com aroma característico de cacau; adequado para uso em preparações culinárias, como bebidas, bolos, sobremesas e recheios; validade mínima de 80% do prazo inicial ainda válido, contado a partir da data de entrega; produto deve atender às normas da ANVISA e legislações vigentes.</w:t>
            </w:r>
          </w:p>
        </w:tc>
        <w:tc>
          <w:tcPr>
            <w:tcW w:w="1470" w:type="dxa"/>
            <w:shd w:val="clear" w:color="auto" w:fill="FFFFFF"/>
            <w:vAlign w:val="center"/>
          </w:tcPr>
          <w:p w14:paraId="58F8E85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350 g</w:t>
            </w:r>
          </w:p>
        </w:tc>
        <w:tc>
          <w:tcPr>
            <w:tcW w:w="744" w:type="dxa"/>
            <w:shd w:val="clear" w:color="auto" w:fill="FFFFFF"/>
            <w:vAlign w:val="center"/>
          </w:tcPr>
          <w:p w14:paraId="178F5F1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1060</w:t>
            </w:r>
          </w:p>
        </w:tc>
        <w:tc>
          <w:tcPr>
            <w:tcW w:w="1074" w:type="dxa"/>
            <w:shd w:val="clear" w:color="auto" w:fill="FFFFFF"/>
            <w:vAlign w:val="center"/>
          </w:tcPr>
          <w:p w14:paraId="64336EC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R$ 6,91</w:t>
            </w:r>
          </w:p>
        </w:tc>
        <w:tc>
          <w:tcPr>
            <w:tcW w:w="1393" w:type="dxa"/>
            <w:shd w:val="clear" w:color="auto" w:fill="FFFFFF"/>
            <w:vAlign w:val="center"/>
          </w:tcPr>
          <w:p w14:paraId="4FEC954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R$ 7.324,60</w:t>
            </w:r>
          </w:p>
        </w:tc>
        <w:tc>
          <w:tcPr>
            <w:tcW w:w="1726" w:type="dxa"/>
            <w:shd w:val="clear" w:color="auto" w:fill="FFFFFF"/>
            <w:vAlign w:val="center"/>
          </w:tcPr>
          <w:p w14:paraId="15B54F5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R$ 7.324,60</w:t>
            </w:r>
          </w:p>
        </w:tc>
      </w:tr>
      <w:tr w14:paraId="064579A0">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95" w:hRule="atLeast"/>
        </w:trPr>
        <w:tc>
          <w:tcPr>
            <w:tcW w:w="480" w:type="dxa"/>
            <w:shd w:val="clear" w:color="auto" w:fill="FBE4E8"/>
            <w:vAlign w:val="center"/>
          </w:tcPr>
          <w:p w14:paraId="29C83D19">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19</w:t>
            </w:r>
          </w:p>
        </w:tc>
        <w:tc>
          <w:tcPr>
            <w:tcW w:w="448" w:type="dxa"/>
            <w:shd w:val="clear" w:color="auto" w:fill="FBE4E8"/>
            <w:vAlign w:val="center"/>
          </w:tcPr>
          <w:p w14:paraId="2C7BA14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370EDF0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87881</w:t>
            </w:r>
          </w:p>
        </w:tc>
        <w:tc>
          <w:tcPr>
            <w:tcW w:w="7283" w:type="dxa"/>
            <w:shd w:val="clear" w:color="auto" w:fill="FBE4E8"/>
            <w:vAlign w:val="center"/>
          </w:tcPr>
          <w:p w14:paraId="3104B271">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Refresco em Pó:</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pó colorido, com aroma característico da fruta ou sabor artificial; adequado para uso em preparações culinárias, como bebidas refrescantes e receitas diversas; sabores diversos; validade mínima de 80% do prazo inicial ainda válido, contado a partir da data de entrega; produto deve atender às normas da ANVISA e legislações vigentes.</w:t>
            </w:r>
          </w:p>
        </w:tc>
        <w:tc>
          <w:tcPr>
            <w:tcW w:w="1470" w:type="dxa"/>
            <w:shd w:val="clear" w:color="auto" w:fill="FBE4E8"/>
            <w:vAlign w:val="center"/>
          </w:tcPr>
          <w:p w14:paraId="7795717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18 g</w:t>
            </w:r>
          </w:p>
        </w:tc>
        <w:tc>
          <w:tcPr>
            <w:tcW w:w="744" w:type="dxa"/>
            <w:shd w:val="clear" w:color="auto" w:fill="FBE4E8"/>
            <w:vAlign w:val="center"/>
          </w:tcPr>
          <w:p w14:paraId="7CCA17A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20500</w:t>
            </w:r>
          </w:p>
        </w:tc>
        <w:tc>
          <w:tcPr>
            <w:tcW w:w="1074" w:type="dxa"/>
            <w:shd w:val="clear" w:color="auto" w:fill="FBE4E8"/>
            <w:vAlign w:val="center"/>
          </w:tcPr>
          <w:p w14:paraId="216476B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R$ 0,98</w:t>
            </w:r>
          </w:p>
        </w:tc>
        <w:tc>
          <w:tcPr>
            <w:tcW w:w="1393" w:type="dxa"/>
            <w:shd w:val="clear" w:color="auto" w:fill="FBE4E8"/>
            <w:vAlign w:val="center"/>
          </w:tcPr>
          <w:p w14:paraId="12D7A0F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R$ 20.090,00</w:t>
            </w:r>
          </w:p>
        </w:tc>
        <w:tc>
          <w:tcPr>
            <w:tcW w:w="1726" w:type="dxa"/>
            <w:shd w:val="clear" w:color="auto" w:fill="FBE4E8"/>
            <w:vAlign w:val="center"/>
          </w:tcPr>
          <w:p w14:paraId="3A11CDE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R$ 20.090,00</w:t>
            </w:r>
          </w:p>
        </w:tc>
      </w:tr>
      <w:tr w14:paraId="7E27997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27" w:hRule="atLeast"/>
        </w:trPr>
        <w:tc>
          <w:tcPr>
            <w:tcW w:w="480" w:type="dxa"/>
            <w:shd w:val="clear" w:color="auto" w:fill="FFFFFF"/>
            <w:vAlign w:val="center"/>
          </w:tcPr>
          <w:p w14:paraId="7A90EBD7">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w:t>
            </w:r>
          </w:p>
        </w:tc>
        <w:tc>
          <w:tcPr>
            <w:tcW w:w="448" w:type="dxa"/>
            <w:shd w:val="clear" w:color="auto" w:fill="FFFFFF"/>
            <w:vAlign w:val="center"/>
          </w:tcPr>
          <w:p w14:paraId="12DF275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1AE3D2F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87882</w:t>
            </w:r>
          </w:p>
        </w:tc>
        <w:tc>
          <w:tcPr>
            <w:tcW w:w="7283" w:type="dxa"/>
            <w:shd w:val="clear" w:color="auto" w:fill="FFFFFF"/>
            <w:vAlign w:val="center"/>
          </w:tcPr>
          <w:p w14:paraId="6134721D">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Refrigerante: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límpido e efervescente, com cor e sabor característicos do tipo de refrigerante; adequado para consumo direto ou em preparações culinárias, como bebidas em festas e eventos; sabores diversos, incluindo: guaraná, laranja e uva; validade mínima de 80% do prazo inicial ainda válido, contado a partir da data de entrega; produto deve atender às normas da ANVISA e legislações vigentes.</w:t>
            </w:r>
          </w:p>
        </w:tc>
        <w:tc>
          <w:tcPr>
            <w:tcW w:w="1470" w:type="dxa"/>
            <w:shd w:val="clear" w:color="auto" w:fill="FFFFFF"/>
            <w:vAlign w:val="center"/>
          </w:tcPr>
          <w:p w14:paraId="67D1AB8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 L</w:t>
            </w:r>
          </w:p>
        </w:tc>
        <w:tc>
          <w:tcPr>
            <w:tcW w:w="744" w:type="dxa"/>
            <w:shd w:val="clear" w:color="auto" w:fill="FFFFFF"/>
            <w:vAlign w:val="center"/>
          </w:tcPr>
          <w:p w14:paraId="1731F90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7120</w:t>
            </w:r>
          </w:p>
        </w:tc>
        <w:tc>
          <w:tcPr>
            <w:tcW w:w="1074" w:type="dxa"/>
            <w:shd w:val="clear" w:color="auto" w:fill="FFFFFF"/>
            <w:vAlign w:val="center"/>
          </w:tcPr>
          <w:p w14:paraId="205F37F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R$ 5,61</w:t>
            </w:r>
          </w:p>
        </w:tc>
        <w:tc>
          <w:tcPr>
            <w:tcW w:w="1393" w:type="dxa"/>
            <w:shd w:val="clear" w:color="auto" w:fill="FFFFFF"/>
            <w:vAlign w:val="center"/>
          </w:tcPr>
          <w:p w14:paraId="67D2AF4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R$ 39.943,20</w:t>
            </w:r>
          </w:p>
        </w:tc>
        <w:tc>
          <w:tcPr>
            <w:tcW w:w="1726" w:type="dxa"/>
            <w:shd w:val="clear" w:color="auto" w:fill="FFFFFF"/>
            <w:vAlign w:val="center"/>
          </w:tcPr>
          <w:p w14:paraId="29A6FAF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R$ 39.943,20</w:t>
            </w:r>
          </w:p>
        </w:tc>
      </w:tr>
      <w:tr w14:paraId="45093AA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52" w:hRule="atLeast"/>
        </w:trPr>
        <w:tc>
          <w:tcPr>
            <w:tcW w:w="480" w:type="dxa"/>
            <w:shd w:val="clear" w:color="auto" w:fill="FBE4E8"/>
            <w:vAlign w:val="center"/>
          </w:tcPr>
          <w:p w14:paraId="09667742">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21</w:t>
            </w:r>
          </w:p>
        </w:tc>
        <w:tc>
          <w:tcPr>
            <w:tcW w:w="448" w:type="dxa"/>
            <w:shd w:val="clear" w:color="auto" w:fill="FBE4E8"/>
            <w:vAlign w:val="center"/>
          </w:tcPr>
          <w:p w14:paraId="0A218F5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414D211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87883</w:t>
            </w:r>
          </w:p>
        </w:tc>
        <w:tc>
          <w:tcPr>
            <w:tcW w:w="7283" w:type="dxa"/>
            <w:shd w:val="clear" w:color="auto" w:fill="FBE4E8"/>
            <w:vAlign w:val="center"/>
          </w:tcPr>
          <w:p w14:paraId="34ABBAC8">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Essência de Baunilha: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líquido, incolor ou ligeiramente amarelado, com aroma característico de baunilha; adequada para uso em preparações culinárias, como bolos, doces, sobremesas e receitas diversas; validade mínima de 80% do prazo inicial ainda válido, contado a partir da data de entrega; produto deve atender às normas da ANVISA e legislações vigentes.</w:t>
            </w:r>
          </w:p>
        </w:tc>
        <w:tc>
          <w:tcPr>
            <w:tcW w:w="1470" w:type="dxa"/>
            <w:shd w:val="clear" w:color="auto" w:fill="FBE4E8"/>
            <w:vAlign w:val="center"/>
          </w:tcPr>
          <w:p w14:paraId="4A3D12A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30 mL</w:t>
            </w:r>
          </w:p>
        </w:tc>
        <w:tc>
          <w:tcPr>
            <w:tcW w:w="744" w:type="dxa"/>
            <w:shd w:val="clear" w:color="auto" w:fill="FBE4E8"/>
            <w:vAlign w:val="center"/>
          </w:tcPr>
          <w:p w14:paraId="73C968F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106</w:t>
            </w:r>
          </w:p>
        </w:tc>
        <w:tc>
          <w:tcPr>
            <w:tcW w:w="1074" w:type="dxa"/>
            <w:shd w:val="clear" w:color="auto" w:fill="FBE4E8"/>
            <w:vAlign w:val="center"/>
          </w:tcPr>
          <w:p w14:paraId="171C226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R$ 6,40</w:t>
            </w:r>
          </w:p>
        </w:tc>
        <w:tc>
          <w:tcPr>
            <w:tcW w:w="1393" w:type="dxa"/>
            <w:shd w:val="clear" w:color="auto" w:fill="FBE4E8"/>
            <w:vAlign w:val="center"/>
          </w:tcPr>
          <w:p w14:paraId="5C1E60D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R$ 678,40</w:t>
            </w:r>
          </w:p>
        </w:tc>
        <w:tc>
          <w:tcPr>
            <w:tcW w:w="1726" w:type="dxa"/>
            <w:shd w:val="clear" w:color="auto" w:fill="FBE4E8"/>
            <w:vAlign w:val="center"/>
          </w:tcPr>
          <w:p w14:paraId="440D0F3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R$ 678,40</w:t>
            </w:r>
          </w:p>
        </w:tc>
      </w:tr>
      <w:tr w14:paraId="45822CD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782" w:hRule="atLeast"/>
        </w:trPr>
        <w:tc>
          <w:tcPr>
            <w:tcW w:w="480" w:type="dxa"/>
            <w:shd w:val="clear" w:color="auto" w:fill="FFFFFF"/>
            <w:vAlign w:val="center"/>
          </w:tcPr>
          <w:p w14:paraId="61A2197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22</w:t>
            </w:r>
          </w:p>
        </w:tc>
        <w:tc>
          <w:tcPr>
            <w:tcW w:w="448" w:type="dxa"/>
            <w:shd w:val="clear" w:color="auto" w:fill="FFFFFF"/>
            <w:vAlign w:val="center"/>
          </w:tcPr>
          <w:p w14:paraId="4111F2B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37AF4A2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87884</w:t>
            </w:r>
          </w:p>
        </w:tc>
        <w:tc>
          <w:tcPr>
            <w:tcW w:w="7283" w:type="dxa"/>
            <w:shd w:val="clear" w:color="auto" w:fill="FFFFFF"/>
            <w:vAlign w:val="center"/>
          </w:tcPr>
          <w:p w14:paraId="1A39F1D3">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Chocolate Granulado: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granulado, de cor marrom escuro, com sabor e aroma característicos de chocolate; adequado para uso em preparações culinárias, como coberturas de bolos, doces, sorvetes e confeitaria em geral; validade mínima de 80% do prazo inicial ainda válido, contado a partir da data de entrega; produto deve atender às normas da ANVISA e legislações vigentes.</w:t>
            </w:r>
          </w:p>
        </w:tc>
        <w:tc>
          <w:tcPr>
            <w:tcW w:w="1470" w:type="dxa"/>
            <w:shd w:val="clear" w:color="auto" w:fill="FFFFFF"/>
            <w:vAlign w:val="center"/>
          </w:tcPr>
          <w:p w14:paraId="49F4C09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FFFFF"/>
            <w:vAlign w:val="center"/>
          </w:tcPr>
          <w:p w14:paraId="4B72F2C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440</w:t>
            </w:r>
          </w:p>
        </w:tc>
        <w:tc>
          <w:tcPr>
            <w:tcW w:w="1074" w:type="dxa"/>
            <w:shd w:val="clear" w:color="auto" w:fill="FFFFFF"/>
            <w:vAlign w:val="center"/>
          </w:tcPr>
          <w:p w14:paraId="60A5D1F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R$ 12,47</w:t>
            </w:r>
          </w:p>
        </w:tc>
        <w:tc>
          <w:tcPr>
            <w:tcW w:w="1393" w:type="dxa"/>
            <w:shd w:val="clear" w:color="auto" w:fill="FFFFFF"/>
            <w:vAlign w:val="center"/>
          </w:tcPr>
          <w:p w14:paraId="15A0B0E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R$ 5.486,80</w:t>
            </w:r>
          </w:p>
        </w:tc>
        <w:tc>
          <w:tcPr>
            <w:tcW w:w="1726" w:type="dxa"/>
            <w:shd w:val="clear" w:color="auto" w:fill="FFFFFF"/>
            <w:vAlign w:val="center"/>
          </w:tcPr>
          <w:p w14:paraId="1157684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R$ 5.486,80</w:t>
            </w:r>
          </w:p>
        </w:tc>
      </w:tr>
      <w:tr w14:paraId="1528C359">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746" w:hRule="atLeast"/>
        </w:trPr>
        <w:tc>
          <w:tcPr>
            <w:tcW w:w="480" w:type="dxa"/>
            <w:shd w:val="clear" w:color="auto" w:fill="FBE4E8"/>
            <w:vAlign w:val="center"/>
          </w:tcPr>
          <w:p w14:paraId="613E493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23</w:t>
            </w:r>
          </w:p>
        </w:tc>
        <w:tc>
          <w:tcPr>
            <w:tcW w:w="448" w:type="dxa"/>
            <w:shd w:val="clear" w:color="auto" w:fill="FBE4E8"/>
            <w:vAlign w:val="center"/>
          </w:tcPr>
          <w:p w14:paraId="7F84C06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2C937CA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87885</w:t>
            </w:r>
          </w:p>
        </w:tc>
        <w:tc>
          <w:tcPr>
            <w:tcW w:w="7283" w:type="dxa"/>
            <w:shd w:val="clear" w:color="auto" w:fill="FBE4E8"/>
            <w:vAlign w:val="center"/>
          </w:tcPr>
          <w:p w14:paraId="3A5284B7">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Coco Ralado: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pequenas partículas finas de cor branca, com sabor e aroma característicos de coco fresco; adequado para uso em preparações culinárias, como recheios de bolos, doces, tortas, biscoitos e confeitaria em geral; validade mínima de 80% do prazo inicial ainda válido, contado a partir da data de entrega; produto deve atender às normas da ANVISA e legislações vigentes.</w:t>
            </w:r>
          </w:p>
        </w:tc>
        <w:tc>
          <w:tcPr>
            <w:tcW w:w="1470" w:type="dxa"/>
            <w:shd w:val="clear" w:color="auto" w:fill="FBE4E8"/>
            <w:vAlign w:val="center"/>
          </w:tcPr>
          <w:p w14:paraId="70BAD55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100 g</w:t>
            </w:r>
          </w:p>
        </w:tc>
        <w:tc>
          <w:tcPr>
            <w:tcW w:w="744" w:type="dxa"/>
            <w:shd w:val="clear" w:color="auto" w:fill="FBE4E8"/>
            <w:vAlign w:val="center"/>
          </w:tcPr>
          <w:p w14:paraId="58DF858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450</w:t>
            </w:r>
          </w:p>
        </w:tc>
        <w:tc>
          <w:tcPr>
            <w:tcW w:w="1074" w:type="dxa"/>
            <w:shd w:val="clear" w:color="auto" w:fill="FBE4E8"/>
            <w:vAlign w:val="center"/>
          </w:tcPr>
          <w:p w14:paraId="75A73BF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R$ 5,33</w:t>
            </w:r>
          </w:p>
        </w:tc>
        <w:tc>
          <w:tcPr>
            <w:tcW w:w="1393" w:type="dxa"/>
            <w:shd w:val="clear" w:color="auto" w:fill="FBE4E8"/>
            <w:vAlign w:val="center"/>
          </w:tcPr>
          <w:p w14:paraId="5ADAB85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R$ 2.398,50</w:t>
            </w:r>
          </w:p>
        </w:tc>
        <w:tc>
          <w:tcPr>
            <w:tcW w:w="1726" w:type="dxa"/>
            <w:shd w:val="clear" w:color="auto" w:fill="FBE4E8"/>
            <w:vAlign w:val="center"/>
          </w:tcPr>
          <w:p w14:paraId="78CA8F6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R$ 2.398,50</w:t>
            </w:r>
          </w:p>
        </w:tc>
      </w:tr>
      <w:tr w14:paraId="3E7E8B7A">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565" w:hRule="atLeast"/>
        </w:trPr>
        <w:tc>
          <w:tcPr>
            <w:tcW w:w="480" w:type="dxa"/>
            <w:shd w:val="clear" w:color="auto" w:fill="FFFFFF"/>
            <w:vAlign w:val="center"/>
          </w:tcPr>
          <w:p w14:paraId="698B4F5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24</w:t>
            </w:r>
          </w:p>
        </w:tc>
        <w:tc>
          <w:tcPr>
            <w:tcW w:w="448" w:type="dxa"/>
            <w:shd w:val="clear" w:color="auto" w:fill="FFFFFF"/>
            <w:vAlign w:val="center"/>
          </w:tcPr>
          <w:p w14:paraId="795B8E7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354F567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87886</w:t>
            </w:r>
          </w:p>
        </w:tc>
        <w:tc>
          <w:tcPr>
            <w:tcW w:w="7283" w:type="dxa"/>
            <w:shd w:val="clear" w:color="auto" w:fill="FFFFFF"/>
            <w:vAlign w:val="center"/>
          </w:tcPr>
          <w:p w14:paraId="5866AF3F">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Bebida Láctea: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líquido, de coloração variada conforme o sabor, com sabor e aroma característicos do leite e dos ingredientes adicionais, caso haja; adequada para consumo direto ou em preparações culinárias; validade mínima de 80% do prazo inicial ainda válido, contado a partir da data de entrega; produto deve atender às normas da ANVISA e legislações vigentes.</w:t>
            </w:r>
          </w:p>
        </w:tc>
        <w:tc>
          <w:tcPr>
            <w:tcW w:w="1470" w:type="dxa"/>
            <w:shd w:val="clear" w:color="auto" w:fill="FFFFFF"/>
            <w:vAlign w:val="center"/>
          </w:tcPr>
          <w:p w14:paraId="5303F27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mL</w:t>
            </w:r>
          </w:p>
        </w:tc>
        <w:tc>
          <w:tcPr>
            <w:tcW w:w="744" w:type="dxa"/>
            <w:shd w:val="clear" w:color="auto" w:fill="FFFFFF"/>
            <w:vAlign w:val="center"/>
          </w:tcPr>
          <w:p w14:paraId="4117CC8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1000</w:t>
            </w:r>
          </w:p>
        </w:tc>
        <w:tc>
          <w:tcPr>
            <w:tcW w:w="1074" w:type="dxa"/>
            <w:shd w:val="clear" w:color="auto" w:fill="FFFFFF"/>
            <w:vAlign w:val="center"/>
          </w:tcPr>
          <w:p w14:paraId="6EFAA21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R$ 1,95</w:t>
            </w:r>
          </w:p>
        </w:tc>
        <w:tc>
          <w:tcPr>
            <w:tcW w:w="1393" w:type="dxa"/>
            <w:shd w:val="clear" w:color="auto" w:fill="FFFFFF"/>
            <w:vAlign w:val="center"/>
          </w:tcPr>
          <w:p w14:paraId="6B82FBE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R$ 1.950,00</w:t>
            </w:r>
          </w:p>
        </w:tc>
        <w:tc>
          <w:tcPr>
            <w:tcW w:w="1726" w:type="dxa"/>
            <w:shd w:val="clear" w:color="auto" w:fill="FFFFFF"/>
            <w:vAlign w:val="center"/>
          </w:tcPr>
          <w:p w14:paraId="0349BAE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R$ 1.950,00</w:t>
            </w:r>
          </w:p>
        </w:tc>
      </w:tr>
      <w:tr w14:paraId="5BB184BA">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229" w:hRule="atLeast"/>
        </w:trPr>
        <w:tc>
          <w:tcPr>
            <w:tcW w:w="480" w:type="dxa"/>
            <w:shd w:val="clear" w:color="auto" w:fill="FBE4E8"/>
            <w:vAlign w:val="center"/>
          </w:tcPr>
          <w:p w14:paraId="48E4303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25</w:t>
            </w:r>
          </w:p>
        </w:tc>
        <w:tc>
          <w:tcPr>
            <w:tcW w:w="448" w:type="dxa"/>
            <w:shd w:val="clear" w:color="auto" w:fill="FBE4E8"/>
            <w:vAlign w:val="center"/>
          </w:tcPr>
          <w:p w14:paraId="5D24CE5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0454EBA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87887</w:t>
            </w:r>
          </w:p>
        </w:tc>
        <w:tc>
          <w:tcPr>
            <w:tcW w:w="7283" w:type="dxa"/>
            <w:shd w:val="clear" w:color="auto" w:fill="FBE4E8"/>
            <w:vAlign w:val="center"/>
          </w:tcPr>
          <w:p w14:paraId="69D9444A">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Milho de Pipoca: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grãos secos, de cor amarela, com formato e tamanho típicos do milho de pipoca; sabor e aroma característicos de milho, adequado para ser estourado em máquinas de pipoca ou em panelas; validade mínima de 80% do prazo inicial ainda válido, contado a partir da data de entrega; produto deve atender às normas da ANVISA e legislações vigentes.</w:t>
            </w:r>
          </w:p>
        </w:tc>
        <w:tc>
          <w:tcPr>
            <w:tcW w:w="1470" w:type="dxa"/>
            <w:shd w:val="clear" w:color="auto" w:fill="FBE4E8"/>
            <w:vAlign w:val="center"/>
          </w:tcPr>
          <w:p w14:paraId="22A2B7E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72A3A45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900</w:t>
            </w:r>
          </w:p>
        </w:tc>
        <w:tc>
          <w:tcPr>
            <w:tcW w:w="1074" w:type="dxa"/>
            <w:shd w:val="clear" w:color="auto" w:fill="FBE4E8"/>
            <w:vAlign w:val="center"/>
          </w:tcPr>
          <w:p w14:paraId="718EE47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R$ 5,38</w:t>
            </w:r>
          </w:p>
        </w:tc>
        <w:tc>
          <w:tcPr>
            <w:tcW w:w="1393" w:type="dxa"/>
            <w:shd w:val="clear" w:color="auto" w:fill="FBE4E8"/>
            <w:vAlign w:val="center"/>
          </w:tcPr>
          <w:p w14:paraId="0A67E69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R$ 4.842,00</w:t>
            </w:r>
          </w:p>
        </w:tc>
        <w:tc>
          <w:tcPr>
            <w:tcW w:w="1726" w:type="dxa"/>
            <w:shd w:val="clear" w:color="auto" w:fill="FBE4E8"/>
            <w:vAlign w:val="center"/>
          </w:tcPr>
          <w:p w14:paraId="0F28351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R$ 4.842,00</w:t>
            </w:r>
          </w:p>
        </w:tc>
      </w:tr>
      <w:tr w14:paraId="16E32326">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451" w:hRule="atLeast"/>
        </w:trPr>
        <w:tc>
          <w:tcPr>
            <w:tcW w:w="480" w:type="dxa"/>
            <w:vMerge w:val="restart"/>
            <w:shd w:val="clear" w:color="auto" w:fill="FFFFFF"/>
            <w:vAlign w:val="center"/>
          </w:tcPr>
          <w:p w14:paraId="6634FE7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26</w:t>
            </w:r>
          </w:p>
        </w:tc>
        <w:tc>
          <w:tcPr>
            <w:tcW w:w="448" w:type="dxa"/>
            <w:shd w:val="clear" w:color="auto" w:fill="FFFFFF"/>
            <w:vAlign w:val="center"/>
          </w:tcPr>
          <w:p w14:paraId="2C53446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67CAC5D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87888</w:t>
            </w:r>
          </w:p>
        </w:tc>
        <w:tc>
          <w:tcPr>
            <w:tcW w:w="7283" w:type="dxa"/>
            <w:shd w:val="clear" w:color="auto" w:fill="FFFFFF"/>
            <w:vAlign w:val="center"/>
          </w:tcPr>
          <w:p w14:paraId="508C95B9">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Óleo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límpido e de cor amarela, com sabor e aroma suaves, típicos do óleo de milho; adequado para uso culinário, sendo ideal para frituras, refogados, e outras preparações gastronômicas; validade mínima de 80% do prazo inicial ainda válido, contado a partir da data de entrega; produto deve atender às normas da ANVISA e legislações vigentes.</w:t>
            </w:r>
          </w:p>
        </w:tc>
        <w:tc>
          <w:tcPr>
            <w:tcW w:w="1470" w:type="dxa"/>
            <w:shd w:val="clear" w:color="auto" w:fill="FFFFFF"/>
            <w:vAlign w:val="center"/>
          </w:tcPr>
          <w:p w14:paraId="4943D32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900 mL</w:t>
            </w:r>
          </w:p>
        </w:tc>
        <w:tc>
          <w:tcPr>
            <w:tcW w:w="744" w:type="dxa"/>
            <w:shd w:val="clear" w:color="auto" w:fill="FFFFFF"/>
            <w:vAlign w:val="center"/>
          </w:tcPr>
          <w:p w14:paraId="3FB44B0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50</w:t>
            </w:r>
          </w:p>
        </w:tc>
        <w:tc>
          <w:tcPr>
            <w:tcW w:w="1074" w:type="dxa"/>
            <w:shd w:val="clear" w:color="auto" w:fill="FFFFFF"/>
            <w:vAlign w:val="center"/>
          </w:tcPr>
          <w:p w14:paraId="5EA3D2D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R$ 14,96</w:t>
            </w:r>
          </w:p>
        </w:tc>
        <w:tc>
          <w:tcPr>
            <w:tcW w:w="1393" w:type="dxa"/>
            <w:shd w:val="clear" w:color="auto" w:fill="FFFFFF"/>
            <w:vAlign w:val="center"/>
          </w:tcPr>
          <w:p w14:paraId="51753DB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R$ 748,00</w:t>
            </w:r>
          </w:p>
        </w:tc>
        <w:tc>
          <w:tcPr>
            <w:tcW w:w="1726" w:type="dxa"/>
            <w:vMerge w:val="restart"/>
            <w:shd w:val="clear" w:color="auto" w:fill="FFFFFF"/>
            <w:vAlign w:val="center"/>
          </w:tcPr>
          <w:p w14:paraId="274594F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R$ 9.503,00</w:t>
            </w:r>
          </w:p>
        </w:tc>
      </w:tr>
      <w:tr w14:paraId="5B3940C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40" w:hRule="atLeast"/>
        </w:trPr>
        <w:tc>
          <w:tcPr>
            <w:tcW w:w="480" w:type="dxa"/>
            <w:vMerge w:val="continue"/>
            <w:shd w:val="clear" w:color="auto" w:fill="FFFFFF"/>
            <w:vAlign w:val="center"/>
          </w:tcPr>
          <w:p w14:paraId="5A271E2C">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1A7718C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FFFFF"/>
            <w:vAlign w:val="center"/>
          </w:tcPr>
          <w:p w14:paraId="14424AD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87889</w:t>
            </w:r>
          </w:p>
        </w:tc>
        <w:tc>
          <w:tcPr>
            <w:tcW w:w="7283" w:type="dxa"/>
            <w:shd w:val="clear" w:color="auto" w:fill="FFFFFF"/>
            <w:vAlign w:val="center"/>
          </w:tcPr>
          <w:p w14:paraId="24BC171F">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Óleo de Soja: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límpido e de cor amarela pálida, com sabor e aroma suaves, típicos do óleo de soja; adequado para uso culinário, especialmente em frituras, refogados, saladas e outras preparações alimentícias; validade mínima de 80% do prazo inicial ainda válido, contado a partir da data de entrega; produto deve atender às normas da ANVISA e legislações vigentes.</w:t>
            </w:r>
          </w:p>
        </w:tc>
        <w:tc>
          <w:tcPr>
            <w:tcW w:w="1470" w:type="dxa"/>
            <w:shd w:val="clear" w:color="auto" w:fill="FFFFFF"/>
            <w:vAlign w:val="center"/>
          </w:tcPr>
          <w:p w14:paraId="5979401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900 mL</w:t>
            </w:r>
          </w:p>
        </w:tc>
        <w:tc>
          <w:tcPr>
            <w:tcW w:w="744" w:type="dxa"/>
            <w:shd w:val="clear" w:color="auto" w:fill="FFFFFF"/>
            <w:vAlign w:val="center"/>
          </w:tcPr>
          <w:p w14:paraId="6BB6645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1030</w:t>
            </w:r>
          </w:p>
        </w:tc>
        <w:tc>
          <w:tcPr>
            <w:tcW w:w="1074" w:type="dxa"/>
            <w:shd w:val="clear" w:color="auto" w:fill="FFFFFF"/>
            <w:vAlign w:val="center"/>
          </w:tcPr>
          <w:p w14:paraId="593F99C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R$ 8,50</w:t>
            </w:r>
          </w:p>
        </w:tc>
        <w:tc>
          <w:tcPr>
            <w:tcW w:w="1393" w:type="dxa"/>
            <w:shd w:val="clear" w:color="auto" w:fill="FFFFFF"/>
            <w:vAlign w:val="center"/>
          </w:tcPr>
          <w:p w14:paraId="66777AA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R$ 8.755,00</w:t>
            </w:r>
          </w:p>
        </w:tc>
        <w:tc>
          <w:tcPr>
            <w:tcW w:w="1726" w:type="dxa"/>
            <w:vMerge w:val="continue"/>
            <w:shd w:val="clear" w:color="auto" w:fill="FFFFFF"/>
            <w:vAlign w:val="center"/>
          </w:tcPr>
          <w:p w14:paraId="4D2B337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FAA2160">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75" w:hRule="atLeast"/>
        </w:trPr>
        <w:tc>
          <w:tcPr>
            <w:tcW w:w="480" w:type="dxa"/>
            <w:shd w:val="clear" w:color="auto" w:fill="FBE4E8"/>
            <w:vAlign w:val="center"/>
          </w:tcPr>
          <w:p w14:paraId="506EE6B3">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27</w:t>
            </w:r>
          </w:p>
        </w:tc>
        <w:tc>
          <w:tcPr>
            <w:tcW w:w="448" w:type="dxa"/>
            <w:shd w:val="clear" w:color="auto" w:fill="FBE4E8"/>
            <w:vAlign w:val="center"/>
          </w:tcPr>
          <w:p w14:paraId="782C340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61C9807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87890</w:t>
            </w:r>
          </w:p>
        </w:tc>
        <w:tc>
          <w:tcPr>
            <w:tcW w:w="7283" w:type="dxa"/>
            <w:shd w:val="clear" w:color="auto" w:fill="FBE4E8"/>
            <w:vAlign w:val="center"/>
          </w:tcPr>
          <w:p w14:paraId="63881971">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Palito de Fósforo: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pequenos palitos cilíndricos, geralmente de madeira, com cabeça contendo fósforo para ignição, de cor variada conforme a marca e tipo de palito; utilizado para acender fogo, em atividades domésticas ou outras necessidades específicas; validade mínima de 80% do prazo inicial ainda válido, contado a partir da data de entrega; produto deve atender às normas de segurança e legislações vigentes.</w:t>
            </w:r>
          </w:p>
        </w:tc>
        <w:tc>
          <w:tcPr>
            <w:tcW w:w="1470" w:type="dxa"/>
            <w:shd w:val="clear" w:color="auto" w:fill="FBE4E8"/>
            <w:vAlign w:val="center"/>
          </w:tcPr>
          <w:p w14:paraId="0B965A3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Pacote primário com 10 caixas, cada caixa contendo 40 palitos</w:t>
            </w:r>
          </w:p>
        </w:tc>
        <w:tc>
          <w:tcPr>
            <w:tcW w:w="744" w:type="dxa"/>
            <w:shd w:val="clear" w:color="auto" w:fill="FBE4E8"/>
            <w:vAlign w:val="center"/>
          </w:tcPr>
          <w:p w14:paraId="02B67B3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260</w:t>
            </w:r>
          </w:p>
        </w:tc>
        <w:tc>
          <w:tcPr>
            <w:tcW w:w="1074" w:type="dxa"/>
            <w:shd w:val="clear" w:color="auto" w:fill="FBE4E8"/>
            <w:vAlign w:val="center"/>
          </w:tcPr>
          <w:p w14:paraId="5D2900A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R$ 4,93</w:t>
            </w:r>
          </w:p>
        </w:tc>
        <w:tc>
          <w:tcPr>
            <w:tcW w:w="1393" w:type="dxa"/>
            <w:shd w:val="clear" w:color="auto" w:fill="FBE4E8"/>
            <w:vAlign w:val="center"/>
          </w:tcPr>
          <w:p w14:paraId="045E02D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R$ 1.281,80</w:t>
            </w:r>
          </w:p>
        </w:tc>
        <w:tc>
          <w:tcPr>
            <w:tcW w:w="1726" w:type="dxa"/>
            <w:shd w:val="clear" w:color="auto" w:fill="FBE4E8"/>
            <w:vAlign w:val="center"/>
          </w:tcPr>
          <w:p w14:paraId="0B71ED4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R$ 1.281,80</w:t>
            </w:r>
          </w:p>
        </w:tc>
      </w:tr>
      <w:tr w14:paraId="2C9A34F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10" w:hRule="atLeast"/>
        </w:trPr>
        <w:tc>
          <w:tcPr>
            <w:tcW w:w="480" w:type="dxa"/>
            <w:shd w:val="clear" w:color="auto" w:fill="FFFFFF"/>
            <w:vAlign w:val="center"/>
          </w:tcPr>
          <w:p w14:paraId="7D1ED275">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28</w:t>
            </w:r>
          </w:p>
        </w:tc>
        <w:tc>
          <w:tcPr>
            <w:tcW w:w="448" w:type="dxa"/>
            <w:shd w:val="clear" w:color="auto" w:fill="FFFFFF"/>
            <w:vAlign w:val="center"/>
          </w:tcPr>
          <w:p w14:paraId="77C2AA3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377D6BA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87891</w:t>
            </w:r>
          </w:p>
        </w:tc>
        <w:tc>
          <w:tcPr>
            <w:tcW w:w="7283" w:type="dxa"/>
            <w:shd w:val="clear" w:color="auto" w:fill="FFFFFF"/>
            <w:vAlign w:val="center"/>
          </w:tcPr>
          <w:p w14:paraId="07877574">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Sal:</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cristalino ou granulado, de cor branca ou levemente opaca, com sabor característico salgado; adequado para uso culinário em preparações alimentícias, como tempero, conservação de alimentos ou em processos industriais; validade mínima de 80% do prazo inicial ainda válido, contado a partir da data de entrega; produto deve atender às normas da ANVISA e legislações vigentes.</w:t>
            </w:r>
          </w:p>
        </w:tc>
        <w:tc>
          <w:tcPr>
            <w:tcW w:w="1470" w:type="dxa"/>
            <w:shd w:val="clear" w:color="auto" w:fill="FFFFFF"/>
            <w:vAlign w:val="center"/>
          </w:tcPr>
          <w:p w14:paraId="6875AB1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kg</w:t>
            </w:r>
          </w:p>
        </w:tc>
        <w:tc>
          <w:tcPr>
            <w:tcW w:w="744" w:type="dxa"/>
            <w:shd w:val="clear" w:color="auto" w:fill="FFFFFF"/>
            <w:vAlign w:val="center"/>
          </w:tcPr>
          <w:p w14:paraId="6675CA0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510</w:t>
            </w:r>
          </w:p>
        </w:tc>
        <w:tc>
          <w:tcPr>
            <w:tcW w:w="1074" w:type="dxa"/>
            <w:shd w:val="clear" w:color="auto" w:fill="FFFFFF"/>
            <w:vAlign w:val="center"/>
          </w:tcPr>
          <w:p w14:paraId="0F7DCE9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R$ 2,14</w:t>
            </w:r>
          </w:p>
        </w:tc>
        <w:tc>
          <w:tcPr>
            <w:tcW w:w="1393" w:type="dxa"/>
            <w:shd w:val="clear" w:color="auto" w:fill="FFFFFF"/>
            <w:vAlign w:val="center"/>
          </w:tcPr>
          <w:p w14:paraId="4315526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R$ 1.091,40</w:t>
            </w:r>
          </w:p>
        </w:tc>
        <w:tc>
          <w:tcPr>
            <w:tcW w:w="1726" w:type="dxa"/>
            <w:shd w:val="clear" w:color="auto" w:fill="FFFFFF"/>
            <w:vAlign w:val="center"/>
          </w:tcPr>
          <w:p w14:paraId="17BAA38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R$ 1.091,40</w:t>
            </w:r>
          </w:p>
        </w:tc>
      </w:tr>
      <w:tr w14:paraId="4D9AFC7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17" w:hRule="atLeast"/>
        </w:trPr>
        <w:tc>
          <w:tcPr>
            <w:tcW w:w="480" w:type="dxa"/>
            <w:shd w:val="clear" w:color="auto" w:fill="FBE4E8"/>
            <w:vAlign w:val="center"/>
          </w:tcPr>
          <w:p w14:paraId="5C11064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29</w:t>
            </w:r>
          </w:p>
        </w:tc>
        <w:tc>
          <w:tcPr>
            <w:tcW w:w="448" w:type="dxa"/>
            <w:shd w:val="clear" w:color="auto" w:fill="FBE4E8"/>
            <w:vAlign w:val="center"/>
          </w:tcPr>
          <w:p w14:paraId="556EAE4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34E04DD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87892</w:t>
            </w:r>
          </w:p>
        </w:tc>
        <w:tc>
          <w:tcPr>
            <w:tcW w:w="7283" w:type="dxa"/>
            <w:shd w:val="clear" w:color="auto" w:fill="FBE4E8"/>
            <w:vAlign w:val="center"/>
          </w:tcPr>
          <w:p w14:paraId="2DDD8E57">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Vinagre: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líquido, de coloração variada (geralmente transparente, branca, ou ambar), com sabor ácido e aroma característico do tipo de vinagre; adequado para uso culinário em temperos, conservas, marinadas, molhos e outras preparações alimentícias; validade mínima de 80% do prazo inicial ainda válido, contado a partir da data de entrega; produto deve atender às normas da ANVISA e legislações vigentes.</w:t>
            </w:r>
          </w:p>
        </w:tc>
        <w:tc>
          <w:tcPr>
            <w:tcW w:w="1470" w:type="dxa"/>
            <w:shd w:val="clear" w:color="auto" w:fill="FBE4E8"/>
            <w:vAlign w:val="center"/>
          </w:tcPr>
          <w:p w14:paraId="20C99D5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750 mL</w:t>
            </w:r>
          </w:p>
        </w:tc>
        <w:tc>
          <w:tcPr>
            <w:tcW w:w="744" w:type="dxa"/>
            <w:shd w:val="clear" w:color="auto" w:fill="FBE4E8"/>
            <w:vAlign w:val="center"/>
          </w:tcPr>
          <w:p w14:paraId="04AE58C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7AD9C1E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R$ 2,63</w:t>
            </w:r>
          </w:p>
        </w:tc>
        <w:tc>
          <w:tcPr>
            <w:tcW w:w="1393" w:type="dxa"/>
            <w:shd w:val="clear" w:color="auto" w:fill="FBE4E8"/>
            <w:vAlign w:val="center"/>
          </w:tcPr>
          <w:p w14:paraId="2127803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R$ 657,50</w:t>
            </w:r>
          </w:p>
        </w:tc>
        <w:tc>
          <w:tcPr>
            <w:tcW w:w="1726" w:type="dxa"/>
            <w:shd w:val="clear" w:color="auto" w:fill="FBE4E8"/>
            <w:vAlign w:val="center"/>
          </w:tcPr>
          <w:p w14:paraId="4AD1981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R$ 657,50</w:t>
            </w:r>
          </w:p>
        </w:tc>
      </w:tr>
      <w:tr w14:paraId="5F46B8A4">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99" w:hRule="atLeast"/>
        </w:trPr>
        <w:tc>
          <w:tcPr>
            <w:tcW w:w="480" w:type="dxa"/>
            <w:shd w:val="clear" w:color="auto" w:fill="FFFFFF"/>
            <w:vAlign w:val="center"/>
          </w:tcPr>
          <w:p w14:paraId="2659F43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30</w:t>
            </w:r>
          </w:p>
        </w:tc>
        <w:tc>
          <w:tcPr>
            <w:tcW w:w="448" w:type="dxa"/>
            <w:shd w:val="clear" w:color="auto" w:fill="FFFFFF"/>
            <w:vAlign w:val="center"/>
          </w:tcPr>
          <w:p w14:paraId="40E27DC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32FD732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87893</w:t>
            </w:r>
          </w:p>
        </w:tc>
        <w:tc>
          <w:tcPr>
            <w:tcW w:w="7283" w:type="dxa"/>
            <w:shd w:val="clear" w:color="auto" w:fill="FFFFFF"/>
            <w:vAlign w:val="center"/>
          </w:tcPr>
          <w:p w14:paraId="442F4077">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Caldo de Carne: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em cubos, com cor e sabor intensos e característicos de carne ou galinha, podendo conter temperos e especiarias adicionais; utilizado para dar sabor a sopas, molhos, risotos, ensopados e outras preparações culinárias; validade mínima de 80% do prazo inicial ainda válido, contado a partir da data de entrega; produto deve atender às normas da ANVISA e legislações vigentes.</w:t>
            </w:r>
          </w:p>
        </w:tc>
        <w:tc>
          <w:tcPr>
            <w:tcW w:w="1470" w:type="dxa"/>
            <w:shd w:val="clear" w:color="auto" w:fill="FFFFFF"/>
            <w:vAlign w:val="center"/>
          </w:tcPr>
          <w:p w14:paraId="0F13450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Caixa com 57 g, contendo no mínimo 6 tabletes</w:t>
            </w:r>
          </w:p>
        </w:tc>
        <w:tc>
          <w:tcPr>
            <w:tcW w:w="744" w:type="dxa"/>
            <w:shd w:val="clear" w:color="auto" w:fill="FFFFFF"/>
            <w:vAlign w:val="center"/>
          </w:tcPr>
          <w:p w14:paraId="7BDBBBE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1000</w:t>
            </w:r>
          </w:p>
        </w:tc>
        <w:tc>
          <w:tcPr>
            <w:tcW w:w="1074" w:type="dxa"/>
            <w:shd w:val="clear" w:color="auto" w:fill="FFFFFF"/>
            <w:vAlign w:val="center"/>
          </w:tcPr>
          <w:p w14:paraId="67AD962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R$ 3,26</w:t>
            </w:r>
          </w:p>
        </w:tc>
        <w:tc>
          <w:tcPr>
            <w:tcW w:w="1393" w:type="dxa"/>
            <w:shd w:val="clear" w:color="auto" w:fill="FFFFFF"/>
            <w:vAlign w:val="center"/>
          </w:tcPr>
          <w:p w14:paraId="5D1388E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R$ 3.260,00</w:t>
            </w:r>
          </w:p>
        </w:tc>
        <w:tc>
          <w:tcPr>
            <w:tcW w:w="1726" w:type="dxa"/>
            <w:shd w:val="clear" w:color="auto" w:fill="FFFFFF"/>
            <w:vAlign w:val="center"/>
          </w:tcPr>
          <w:p w14:paraId="1285466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R$ 3.260,00</w:t>
            </w:r>
          </w:p>
        </w:tc>
      </w:tr>
      <w:tr w14:paraId="739569E8">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46" w:hRule="atLeast"/>
        </w:trPr>
        <w:tc>
          <w:tcPr>
            <w:tcW w:w="480" w:type="dxa"/>
            <w:vMerge w:val="restart"/>
            <w:shd w:val="clear" w:color="auto" w:fill="FBE4E8"/>
            <w:vAlign w:val="center"/>
          </w:tcPr>
          <w:p w14:paraId="496CD92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31</w:t>
            </w:r>
          </w:p>
        </w:tc>
        <w:tc>
          <w:tcPr>
            <w:tcW w:w="448" w:type="dxa"/>
            <w:shd w:val="clear" w:color="auto" w:fill="FBE4E8"/>
            <w:vAlign w:val="center"/>
          </w:tcPr>
          <w:p w14:paraId="5386AF0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1451F06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87894</w:t>
            </w:r>
          </w:p>
        </w:tc>
        <w:tc>
          <w:tcPr>
            <w:tcW w:w="7283" w:type="dxa"/>
            <w:shd w:val="clear" w:color="auto" w:fill="FBE4E8"/>
            <w:vAlign w:val="center"/>
          </w:tcPr>
          <w:p w14:paraId="773AF0DF">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Canela em Pó:</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pó fino, de cor marrom-clara a marrom-escuro, com sabor e aroma característicos de canela, levemente doce e picante; utilizada como tempero em preparações culinárias, como bolos, doces, bebidas, sobremesas, entre outros; validade mínima de 80% do prazo inicial ainda válido, contado a partir da data de entrega; produto deve atender às normas da ANVISA e legislações vigentes.</w:t>
            </w:r>
          </w:p>
        </w:tc>
        <w:tc>
          <w:tcPr>
            <w:tcW w:w="1470" w:type="dxa"/>
            <w:shd w:val="clear" w:color="auto" w:fill="FBE4E8"/>
            <w:vAlign w:val="center"/>
          </w:tcPr>
          <w:p w14:paraId="5E925AC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30 g</w:t>
            </w:r>
          </w:p>
        </w:tc>
        <w:tc>
          <w:tcPr>
            <w:tcW w:w="744" w:type="dxa"/>
            <w:shd w:val="clear" w:color="auto" w:fill="FBE4E8"/>
            <w:vAlign w:val="center"/>
          </w:tcPr>
          <w:p w14:paraId="24B24F8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260</w:t>
            </w:r>
          </w:p>
        </w:tc>
        <w:tc>
          <w:tcPr>
            <w:tcW w:w="1074" w:type="dxa"/>
            <w:shd w:val="clear" w:color="auto" w:fill="FBE4E8"/>
            <w:vAlign w:val="center"/>
          </w:tcPr>
          <w:p w14:paraId="10DBAC3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R$ 5,38</w:t>
            </w:r>
          </w:p>
        </w:tc>
        <w:tc>
          <w:tcPr>
            <w:tcW w:w="1393" w:type="dxa"/>
            <w:shd w:val="clear" w:color="auto" w:fill="FBE4E8"/>
            <w:vAlign w:val="center"/>
          </w:tcPr>
          <w:p w14:paraId="0305FB0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R$ 1.398,80</w:t>
            </w:r>
          </w:p>
        </w:tc>
        <w:tc>
          <w:tcPr>
            <w:tcW w:w="1726" w:type="dxa"/>
            <w:vMerge w:val="restart"/>
            <w:shd w:val="clear" w:color="auto" w:fill="FBE4E8"/>
            <w:vAlign w:val="center"/>
          </w:tcPr>
          <w:p w14:paraId="426373A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R$ 7.123,30</w:t>
            </w:r>
          </w:p>
        </w:tc>
      </w:tr>
      <w:tr w14:paraId="6F79F776">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552" w:hRule="atLeast"/>
        </w:trPr>
        <w:tc>
          <w:tcPr>
            <w:tcW w:w="480" w:type="dxa"/>
            <w:vMerge w:val="continue"/>
            <w:shd w:val="clear" w:color="auto" w:fill="E1E9FE"/>
            <w:vAlign w:val="center"/>
          </w:tcPr>
          <w:p w14:paraId="7F54E54E">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3322CBD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37408B1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87895</w:t>
            </w:r>
          </w:p>
        </w:tc>
        <w:tc>
          <w:tcPr>
            <w:tcW w:w="7283" w:type="dxa"/>
            <w:shd w:val="clear" w:color="auto" w:fill="FBE4E8"/>
            <w:vAlign w:val="center"/>
          </w:tcPr>
          <w:p w14:paraId="34757C2F">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Colorífico (Colorau):</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em pó, de cor vermelha a laranja intensa, com sabor suave e aroma típico de especiarias; utilizado como corante natural em preparações culinárias; validade mínima de 80% do prazo inicial ainda válido, contado a partir da data de entrega; produto deve atender às normas da ANVISA e legislações vigentes.</w:t>
            </w:r>
          </w:p>
        </w:tc>
        <w:tc>
          <w:tcPr>
            <w:tcW w:w="1470" w:type="dxa"/>
            <w:shd w:val="clear" w:color="auto" w:fill="FBE4E8"/>
            <w:vAlign w:val="center"/>
          </w:tcPr>
          <w:p w14:paraId="78DF8BA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kg</w:t>
            </w:r>
          </w:p>
        </w:tc>
        <w:tc>
          <w:tcPr>
            <w:tcW w:w="744" w:type="dxa"/>
            <w:shd w:val="clear" w:color="auto" w:fill="FBE4E8"/>
            <w:vAlign w:val="center"/>
          </w:tcPr>
          <w:p w14:paraId="21ABD90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w:t>
            </w:r>
          </w:p>
        </w:tc>
        <w:tc>
          <w:tcPr>
            <w:tcW w:w="1074" w:type="dxa"/>
            <w:shd w:val="clear" w:color="auto" w:fill="FBE4E8"/>
            <w:vAlign w:val="center"/>
          </w:tcPr>
          <w:p w14:paraId="4C64488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R$ 12,62</w:t>
            </w:r>
          </w:p>
        </w:tc>
        <w:tc>
          <w:tcPr>
            <w:tcW w:w="1393" w:type="dxa"/>
            <w:shd w:val="clear" w:color="auto" w:fill="FBE4E8"/>
            <w:vAlign w:val="center"/>
          </w:tcPr>
          <w:p w14:paraId="1F9A0E9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R$ 1.262,00</w:t>
            </w:r>
          </w:p>
        </w:tc>
        <w:tc>
          <w:tcPr>
            <w:tcW w:w="1726" w:type="dxa"/>
            <w:vMerge w:val="continue"/>
            <w:shd w:val="clear" w:color="auto" w:fill="E1E9FE"/>
            <w:vAlign w:val="center"/>
          </w:tcPr>
          <w:p w14:paraId="7E24B95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050BDF1E">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10" w:hRule="atLeast"/>
        </w:trPr>
        <w:tc>
          <w:tcPr>
            <w:tcW w:w="480" w:type="dxa"/>
            <w:vMerge w:val="continue"/>
            <w:shd w:val="clear" w:color="auto" w:fill="FFFFFF"/>
            <w:vAlign w:val="center"/>
          </w:tcPr>
          <w:p w14:paraId="1A28CD7B">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21C74DC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6CEBD52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87896</w:t>
            </w:r>
          </w:p>
        </w:tc>
        <w:tc>
          <w:tcPr>
            <w:tcW w:w="7283" w:type="dxa"/>
            <w:shd w:val="clear" w:color="auto" w:fill="FBE4E8"/>
            <w:vAlign w:val="center"/>
          </w:tcPr>
          <w:p w14:paraId="3C439B80">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Açafrão: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em pó, de cor amarela intensa, com sabor levemente amargo e aroma característico e pungente; utilizado como tempero em preparações culinárias, como risotos, sopas, molhos e pratos tradicionais; validade mínima de 80% do prazo inicial ainda válido, contado a partir da data de entrega; produto deve atender às normas da ANVISA e legislações vigentes.</w:t>
            </w:r>
          </w:p>
        </w:tc>
        <w:tc>
          <w:tcPr>
            <w:tcW w:w="1470" w:type="dxa"/>
            <w:shd w:val="clear" w:color="auto" w:fill="FBE4E8"/>
            <w:vAlign w:val="center"/>
          </w:tcPr>
          <w:p w14:paraId="1238A82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5DD3705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67528CD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R$ 6,42</w:t>
            </w:r>
          </w:p>
        </w:tc>
        <w:tc>
          <w:tcPr>
            <w:tcW w:w="1393" w:type="dxa"/>
            <w:shd w:val="clear" w:color="auto" w:fill="FBE4E8"/>
            <w:vAlign w:val="center"/>
          </w:tcPr>
          <w:p w14:paraId="0EC5BA7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R$ 1.605,00</w:t>
            </w:r>
          </w:p>
        </w:tc>
        <w:tc>
          <w:tcPr>
            <w:tcW w:w="1726" w:type="dxa"/>
            <w:vMerge w:val="continue"/>
            <w:shd w:val="clear" w:color="auto" w:fill="E1E9FE"/>
            <w:vAlign w:val="center"/>
          </w:tcPr>
          <w:p w14:paraId="5523880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4FA4D19">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748" w:hRule="atLeast"/>
        </w:trPr>
        <w:tc>
          <w:tcPr>
            <w:tcW w:w="480" w:type="dxa"/>
            <w:vMerge w:val="continue"/>
            <w:shd w:val="clear" w:color="auto" w:fill="FFFFFF"/>
            <w:vAlign w:val="center"/>
          </w:tcPr>
          <w:p w14:paraId="5755AC75">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3DD46BF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4</w:t>
            </w:r>
          </w:p>
        </w:tc>
        <w:tc>
          <w:tcPr>
            <w:tcW w:w="792" w:type="dxa"/>
            <w:shd w:val="clear" w:color="auto" w:fill="FBE4E8"/>
            <w:vAlign w:val="center"/>
          </w:tcPr>
          <w:p w14:paraId="589AEE1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87897</w:t>
            </w:r>
          </w:p>
        </w:tc>
        <w:tc>
          <w:tcPr>
            <w:tcW w:w="7283" w:type="dxa"/>
            <w:shd w:val="clear" w:color="auto" w:fill="FBE4E8"/>
            <w:vAlign w:val="center"/>
          </w:tcPr>
          <w:p w14:paraId="2BE5372B">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Pimenta do Reino: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em pó, com sabor picante e aroma característico de especiaria; utilizada como tempero em diversas preparações culinárias; validade mínima de 80% do prazo inicial ainda válido, contado a partir da data de entrega; produto deve atender às normas da ANVISA e legislações vigentes.</w:t>
            </w:r>
          </w:p>
        </w:tc>
        <w:tc>
          <w:tcPr>
            <w:tcW w:w="1470" w:type="dxa"/>
            <w:shd w:val="clear" w:color="auto" w:fill="FBE4E8"/>
            <w:vAlign w:val="center"/>
          </w:tcPr>
          <w:p w14:paraId="75C373E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 g</w:t>
            </w:r>
          </w:p>
        </w:tc>
        <w:tc>
          <w:tcPr>
            <w:tcW w:w="744" w:type="dxa"/>
            <w:shd w:val="clear" w:color="auto" w:fill="FBE4E8"/>
            <w:vAlign w:val="center"/>
          </w:tcPr>
          <w:p w14:paraId="53E6CA7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2A3EC44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R$ 6,51</w:t>
            </w:r>
          </w:p>
        </w:tc>
        <w:tc>
          <w:tcPr>
            <w:tcW w:w="1393" w:type="dxa"/>
            <w:shd w:val="clear" w:color="auto" w:fill="FBE4E8"/>
            <w:vAlign w:val="center"/>
          </w:tcPr>
          <w:p w14:paraId="4B3B7D0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R$ 1.627,50</w:t>
            </w:r>
          </w:p>
        </w:tc>
        <w:tc>
          <w:tcPr>
            <w:tcW w:w="1726" w:type="dxa"/>
            <w:vMerge w:val="continue"/>
            <w:shd w:val="clear" w:color="auto" w:fill="E1E9FE"/>
            <w:vAlign w:val="center"/>
          </w:tcPr>
          <w:p w14:paraId="1DC32E2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01AE621">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651" w:hRule="atLeast"/>
        </w:trPr>
        <w:tc>
          <w:tcPr>
            <w:tcW w:w="480" w:type="dxa"/>
            <w:vMerge w:val="continue"/>
            <w:shd w:val="clear" w:color="auto" w:fill="FFFFFF"/>
            <w:vAlign w:val="center"/>
          </w:tcPr>
          <w:p w14:paraId="52D889AF">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5E0C438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5</w:t>
            </w:r>
          </w:p>
        </w:tc>
        <w:tc>
          <w:tcPr>
            <w:tcW w:w="792" w:type="dxa"/>
            <w:shd w:val="clear" w:color="auto" w:fill="FBE4E8"/>
            <w:vAlign w:val="center"/>
          </w:tcPr>
          <w:p w14:paraId="61D6DE6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87898</w:t>
            </w:r>
          </w:p>
        </w:tc>
        <w:tc>
          <w:tcPr>
            <w:tcW w:w="7283" w:type="dxa"/>
            <w:shd w:val="clear" w:color="auto" w:fill="FBE4E8"/>
            <w:vAlign w:val="center"/>
          </w:tcPr>
          <w:p w14:paraId="46620738">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Páprica: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em pó, de cor vermelha a laranja, com sabor suave a picante e aroma característico, levemente adocicado e defumado; utilizada como tempero em preparações culinárias, como carnes, molhos, sopas, vegetais, entre outros; validade mínima de 80% do prazo inicial ainda válido, contado a partir da data de entrega; produto deve atender às normas da ANVISA e legislações vigentes.</w:t>
            </w:r>
          </w:p>
        </w:tc>
        <w:tc>
          <w:tcPr>
            <w:tcW w:w="1470" w:type="dxa"/>
            <w:shd w:val="clear" w:color="auto" w:fill="FBE4E8"/>
            <w:vAlign w:val="center"/>
          </w:tcPr>
          <w:p w14:paraId="4CB6D7D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 g</w:t>
            </w:r>
          </w:p>
        </w:tc>
        <w:tc>
          <w:tcPr>
            <w:tcW w:w="744" w:type="dxa"/>
            <w:shd w:val="clear" w:color="auto" w:fill="FBE4E8"/>
            <w:vAlign w:val="center"/>
          </w:tcPr>
          <w:p w14:paraId="4C7EDA5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35275D5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R$ 4,92</w:t>
            </w:r>
          </w:p>
        </w:tc>
        <w:tc>
          <w:tcPr>
            <w:tcW w:w="1393" w:type="dxa"/>
            <w:shd w:val="clear" w:color="auto" w:fill="FBE4E8"/>
            <w:vAlign w:val="center"/>
          </w:tcPr>
          <w:p w14:paraId="3F7310B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R$ 1.230,00</w:t>
            </w:r>
          </w:p>
        </w:tc>
        <w:tc>
          <w:tcPr>
            <w:tcW w:w="1726" w:type="dxa"/>
            <w:vMerge w:val="continue"/>
            <w:shd w:val="clear" w:color="auto" w:fill="E1E9FE"/>
            <w:vAlign w:val="center"/>
          </w:tcPr>
          <w:p w14:paraId="74EB643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26C00E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23" w:hRule="atLeast"/>
        </w:trPr>
        <w:tc>
          <w:tcPr>
            <w:tcW w:w="480" w:type="dxa"/>
            <w:shd w:val="clear" w:color="auto" w:fill="FFFFFF"/>
            <w:vAlign w:val="center"/>
          </w:tcPr>
          <w:p w14:paraId="7EA060D5">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32</w:t>
            </w:r>
          </w:p>
        </w:tc>
        <w:tc>
          <w:tcPr>
            <w:tcW w:w="448" w:type="dxa"/>
            <w:shd w:val="clear" w:color="auto" w:fill="FFFFFF"/>
            <w:vAlign w:val="center"/>
          </w:tcPr>
          <w:p w14:paraId="1C6A620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4F0BAEE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87899</w:t>
            </w:r>
          </w:p>
        </w:tc>
        <w:tc>
          <w:tcPr>
            <w:tcW w:w="7283" w:type="dxa"/>
            <w:shd w:val="clear" w:color="auto" w:fill="FFFFFF"/>
            <w:vAlign w:val="center"/>
          </w:tcPr>
          <w:p w14:paraId="48635970">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Batata Palha: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tiras finas e crocantes, de cor dourada a levemente amarelada, com sabor e aroma característicos de batata frita; utilizada como acompanhamento, decoração ou ingrediente em pratos como saladas, sanduíches, tortas, e outros preparos culinários; validade mínima de 80% do prazo inicial ainda válido, contado a partir da data de entrega; produto deve atender às normas da ANVISA e legislações vigentes.</w:t>
            </w:r>
          </w:p>
        </w:tc>
        <w:tc>
          <w:tcPr>
            <w:tcW w:w="1470" w:type="dxa"/>
            <w:shd w:val="clear" w:color="auto" w:fill="FFFFFF"/>
            <w:vAlign w:val="center"/>
          </w:tcPr>
          <w:p w14:paraId="6B29640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400 g</w:t>
            </w:r>
          </w:p>
        </w:tc>
        <w:tc>
          <w:tcPr>
            <w:tcW w:w="744" w:type="dxa"/>
            <w:shd w:val="clear" w:color="auto" w:fill="FFFFFF"/>
            <w:vAlign w:val="center"/>
          </w:tcPr>
          <w:p w14:paraId="7BE844B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875</w:t>
            </w:r>
          </w:p>
        </w:tc>
        <w:tc>
          <w:tcPr>
            <w:tcW w:w="1074" w:type="dxa"/>
            <w:shd w:val="clear" w:color="auto" w:fill="FFFFFF"/>
            <w:vAlign w:val="center"/>
          </w:tcPr>
          <w:p w14:paraId="4665E78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R$ 16,24</w:t>
            </w:r>
          </w:p>
        </w:tc>
        <w:tc>
          <w:tcPr>
            <w:tcW w:w="1393" w:type="dxa"/>
            <w:shd w:val="clear" w:color="auto" w:fill="FFFFFF"/>
            <w:vAlign w:val="center"/>
          </w:tcPr>
          <w:p w14:paraId="1337E18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R$ 14.210,00</w:t>
            </w:r>
          </w:p>
        </w:tc>
        <w:tc>
          <w:tcPr>
            <w:tcW w:w="1726" w:type="dxa"/>
            <w:shd w:val="clear" w:color="auto" w:fill="FFFFFF"/>
            <w:vAlign w:val="center"/>
          </w:tcPr>
          <w:p w14:paraId="24D6105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R$ 14.210,00</w:t>
            </w:r>
          </w:p>
        </w:tc>
      </w:tr>
      <w:tr w14:paraId="2FC5E58E">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54" w:hRule="atLeast"/>
        </w:trPr>
        <w:tc>
          <w:tcPr>
            <w:tcW w:w="480" w:type="dxa"/>
            <w:shd w:val="clear" w:color="auto" w:fill="FBE4E8"/>
            <w:vAlign w:val="center"/>
          </w:tcPr>
          <w:p w14:paraId="4551D3D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33</w:t>
            </w:r>
          </w:p>
        </w:tc>
        <w:tc>
          <w:tcPr>
            <w:tcW w:w="448" w:type="dxa"/>
            <w:shd w:val="clear" w:color="auto" w:fill="FBE4E8"/>
            <w:vAlign w:val="center"/>
          </w:tcPr>
          <w:p w14:paraId="3A99AF7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397B943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87900</w:t>
            </w:r>
          </w:p>
        </w:tc>
        <w:tc>
          <w:tcPr>
            <w:tcW w:w="7283" w:type="dxa"/>
            <w:shd w:val="clear" w:color="auto" w:fill="FBE4E8"/>
            <w:vAlign w:val="center"/>
          </w:tcPr>
          <w:p w14:paraId="5CA42C25">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Corante Alimentício: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líquido; cores diversas; utilizado para dar cor a alimentos e bebidas, como bolos, doces, sorvetes, sobremesas, e preparações em geral; validade mínima de 80% do prazo inicial ainda válido, contado a partir da data de entrega; produto deve atender às normas da ANVISA e legislações vigentes.</w:t>
            </w:r>
          </w:p>
        </w:tc>
        <w:tc>
          <w:tcPr>
            <w:tcW w:w="1470" w:type="dxa"/>
            <w:shd w:val="clear" w:color="auto" w:fill="FBE4E8"/>
            <w:vAlign w:val="center"/>
          </w:tcPr>
          <w:p w14:paraId="142A642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10 mL</w:t>
            </w:r>
          </w:p>
        </w:tc>
        <w:tc>
          <w:tcPr>
            <w:tcW w:w="744" w:type="dxa"/>
            <w:shd w:val="clear" w:color="auto" w:fill="FBE4E8"/>
            <w:vAlign w:val="center"/>
          </w:tcPr>
          <w:p w14:paraId="72E1715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210</w:t>
            </w:r>
          </w:p>
        </w:tc>
        <w:tc>
          <w:tcPr>
            <w:tcW w:w="1074" w:type="dxa"/>
            <w:shd w:val="clear" w:color="auto" w:fill="FBE4E8"/>
            <w:vAlign w:val="center"/>
          </w:tcPr>
          <w:p w14:paraId="52A61B4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R$ 3,16</w:t>
            </w:r>
          </w:p>
        </w:tc>
        <w:tc>
          <w:tcPr>
            <w:tcW w:w="1393" w:type="dxa"/>
            <w:shd w:val="clear" w:color="auto" w:fill="FBE4E8"/>
            <w:vAlign w:val="center"/>
          </w:tcPr>
          <w:p w14:paraId="735DBFD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R$ 663,60</w:t>
            </w:r>
          </w:p>
        </w:tc>
        <w:tc>
          <w:tcPr>
            <w:tcW w:w="1726" w:type="dxa"/>
            <w:shd w:val="clear" w:color="auto" w:fill="FBE4E8"/>
            <w:vAlign w:val="center"/>
          </w:tcPr>
          <w:p w14:paraId="1BC89C3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R$ 663,60</w:t>
            </w:r>
          </w:p>
        </w:tc>
      </w:tr>
      <w:tr w14:paraId="50CAA81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46" w:hRule="atLeast"/>
        </w:trPr>
        <w:tc>
          <w:tcPr>
            <w:tcW w:w="480" w:type="dxa"/>
            <w:shd w:val="clear" w:color="auto" w:fill="FFFFFF"/>
            <w:vAlign w:val="center"/>
          </w:tcPr>
          <w:p w14:paraId="6523D98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34</w:t>
            </w:r>
          </w:p>
        </w:tc>
        <w:tc>
          <w:tcPr>
            <w:tcW w:w="448" w:type="dxa"/>
            <w:shd w:val="clear" w:color="auto" w:fill="FFFFFF"/>
            <w:vAlign w:val="center"/>
          </w:tcPr>
          <w:p w14:paraId="099B54A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0CB3885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87901</w:t>
            </w:r>
          </w:p>
        </w:tc>
        <w:tc>
          <w:tcPr>
            <w:tcW w:w="7283" w:type="dxa"/>
            <w:shd w:val="clear" w:color="auto" w:fill="FFFFFF"/>
            <w:vAlign w:val="center"/>
          </w:tcPr>
          <w:p w14:paraId="6C1BF1C3">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Chantilly:</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cremoso, de cor branca, com sabor suave e levemente doce, obtido a partir de creme de leite batido, podendo conter estabilizantes e adoçantes; utilizado como cobertura ou recheio para bolos, tortas, sobremesas, e outras preparações culinárias; validade mínima de 80% do prazo inicial ainda válido, contado a partir da data de entrega; produto deve atender às normas da ANVISA e legislações vigentes.</w:t>
            </w:r>
          </w:p>
        </w:tc>
        <w:tc>
          <w:tcPr>
            <w:tcW w:w="1470" w:type="dxa"/>
            <w:shd w:val="clear" w:color="auto" w:fill="FFFFFF"/>
            <w:vAlign w:val="center"/>
          </w:tcPr>
          <w:p w14:paraId="64B7741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mL</w:t>
            </w:r>
          </w:p>
        </w:tc>
        <w:tc>
          <w:tcPr>
            <w:tcW w:w="744" w:type="dxa"/>
            <w:shd w:val="clear" w:color="auto" w:fill="FFFFFF"/>
            <w:vAlign w:val="center"/>
          </w:tcPr>
          <w:p w14:paraId="5689867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275</w:t>
            </w:r>
          </w:p>
        </w:tc>
        <w:tc>
          <w:tcPr>
            <w:tcW w:w="1074" w:type="dxa"/>
            <w:shd w:val="clear" w:color="auto" w:fill="FFFFFF"/>
            <w:vAlign w:val="center"/>
          </w:tcPr>
          <w:p w14:paraId="7DC5AF8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R$ 5,73</w:t>
            </w:r>
          </w:p>
        </w:tc>
        <w:tc>
          <w:tcPr>
            <w:tcW w:w="1393" w:type="dxa"/>
            <w:shd w:val="clear" w:color="auto" w:fill="FFFFFF"/>
            <w:vAlign w:val="center"/>
          </w:tcPr>
          <w:p w14:paraId="78E892A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R$ 1.575,75</w:t>
            </w:r>
          </w:p>
        </w:tc>
        <w:tc>
          <w:tcPr>
            <w:tcW w:w="1726" w:type="dxa"/>
            <w:shd w:val="clear" w:color="auto" w:fill="FFFFFF"/>
            <w:vAlign w:val="center"/>
          </w:tcPr>
          <w:p w14:paraId="28C5FDF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R$ 1.575,75</w:t>
            </w:r>
          </w:p>
        </w:tc>
      </w:tr>
      <w:tr w14:paraId="55783013">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34" w:hRule="atLeast"/>
        </w:trPr>
        <w:tc>
          <w:tcPr>
            <w:tcW w:w="480" w:type="dxa"/>
            <w:shd w:val="clear" w:color="auto" w:fill="FBE4E8"/>
            <w:vAlign w:val="center"/>
          </w:tcPr>
          <w:p w14:paraId="6FF491A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35</w:t>
            </w:r>
          </w:p>
        </w:tc>
        <w:tc>
          <w:tcPr>
            <w:tcW w:w="448" w:type="dxa"/>
            <w:shd w:val="clear" w:color="auto" w:fill="FBE4E8"/>
            <w:vAlign w:val="center"/>
          </w:tcPr>
          <w:p w14:paraId="33A2EFB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2BD3FD6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87902</w:t>
            </w:r>
          </w:p>
        </w:tc>
        <w:tc>
          <w:tcPr>
            <w:tcW w:w="7283" w:type="dxa"/>
            <w:shd w:val="clear" w:color="auto" w:fill="FBE4E8"/>
            <w:vAlign w:val="center"/>
          </w:tcPr>
          <w:p w14:paraId="353EB02B">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Requeijão: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cremoso, de cor branca a levemente amarelada, com sabor suave e aroma característico; utilizado como ingrediente ou cobertura em pães, torradas, sanduíches, massas, tortas, entre outras preparações culinárias diversas; validade mínima de 80% do prazo inicial ainda válido, contado a partir da data de entrega; produto deve atender às normas da ANVISA e legislações vigentes.</w:t>
            </w:r>
          </w:p>
        </w:tc>
        <w:tc>
          <w:tcPr>
            <w:tcW w:w="1470" w:type="dxa"/>
            <w:shd w:val="clear" w:color="auto" w:fill="FBE4E8"/>
            <w:vAlign w:val="center"/>
          </w:tcPr>
          <w:p w14:paraId="7E1294F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g</w:t>
            </w:r>
          </w:p>
        </w:tc>
        <w:tc>
          <w:tcPr>
            <w:tcW w:w="744" w:type="dxa"/>
            <w:shd w:val="clear" w:color="auto" w:fill="FBE4E8"/>
            <w:vAlign w:val="center"/>
          </w:tcPr>
          <w:p w14:paraId="51A1D78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560</w:t>
            </w:r>
          </w:p>
        </w:tc>
        <w:tc>
          <w:tcPr>
            <w:tcW w:w="1074" w:type="dxa"/>
            <w:shd w:val="clear" w:color="auto" w:fill="FBE4E8"/>
            <w:vAlign w:val="center"/>
          </w:tcPr>
          <w:p w14:paraId="28AF50C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R$ 8,22</w:t>
            </w:r>
          </w:p>
        </w:tc>
        <w:tc>
          <w:tcPr>
            <w:tcW w:w="1393" w:type="dxa"/>
            <w:shd w:val="clear" w:color="auto" w:fill="FBE4E8"/>
            <w:vAlign w:val="center"/>
          </w:tcPr>
          <w:p w14:paraId="3E32870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R$ 4.603,20</w:t>
            </w:r>
          </w:p>
        </w:tc>
        <w:tc>
          <w:tcPr>
            <w:tcW w:w="1726" w:type="dxa"/>
            <w:shd w:val="clear" w:color="auto" w:fill="FBE4E8"/>
            <w:vAlign w:val="center"/>
          </w:tcPr>
          <w:p w14:paraId="6A23B0B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R$ 4.603,20</w:t>
            </w:r>
          </w:p>
        </w:tc>
      </w:tr>
      <w:tr w14:paraId="59EC218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1011" w:hRule="atLeast"/>
        </w:trPr>
        <w:tc>
          <w:tcPr>
            <w:tcW w:w="480" w:type="dxa"/>
            <w:shd w:val="clear" w:color="auto" w:fill="FFFFFF"/>
            <w:vAlign w:val="center"/>
          </w:tcPr>
          <w:p w14:paraId="2D0477A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36</w:t>
            </w:r>
          </w:p>
        </w:tc>
        <w:tc>
          <w:tcPr>
            <w:tcW w:w="448" w:type="dxa"/>
            <w:shd w:val="clear" w:color="auto" w:fill="FFFFFF"/>
            <w:vAlign w:val="center"/>
          </w:tcPr>
          <w:p w14:paraId="1AAF335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23C3A7E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87903</w:t>
            </w:r>
          </w:p>
        </w:tc>
        <w:tc>
          <w:tcPr>
            <w:tcW w:w="7283" w:type="dxa"/>
            <w:shd w:val="clear" w:color="auto" w:fill="FFFFFF"/>
            <w:vAlign w:val="center"/>
          </w:tcPr>
          <w:p w14:paraId="6838E287">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Pêssego em Calda: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fatias ou metades de pêssegos conservados em calda doce, de cor amarela a alaranjada, com sabor doce e aroma característico da fruta; utilizado em sobremesas, como recheios de tortas, bolos, ou como acompanhamento de iogurtes e outras preparações culinárias; validade mínima de 80% do prazo inicial ainda válido, contado a partir da data de entrega; produto deve atender às normas da ANVISA e legislações vigentes.</w:t>
            </w:r>
          </w:p>
        </w:tc>
        <w:tc>
          <w:tcPr>
            <w:tcW w:w="1470" w:type="dxa"/>
            <w:shd w:val="clear" w:color="auto" w:fill="FFFFFF"/>
            <w:vAlign w:val="center"/>
          </w:tcPr>
          <w:p w14:paraId="50EB160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450 g</w:t>
            </w:r>
          </w:p>
        </w:tc>
        <w:tc>
          <w:tcPr>
            <w:tcW w:w="744" w:type="dxa"/>
            <w:shd w:val="clear" w:color="auto" w:fill="FFFFFF"/>
            <w:vAlign w:val="center"/>
          </w:tcPr>
          <w:p w14:paraId="63CBFDD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1500</w:t>
            </w:r>
          </w:p>
        </w:tc>
        <w:tc>
          <w:tcPr>
            <w:tcW w:w="1074" w:type="dxa"/>
            <w:shd w:val="clear" w:color="auto" w:fill="FFFFFF"/>
            <w:vAlign w:val="center"/>
          </w:tcPr>
          <w:p w14:paraId="74D1767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R$ 18,24</w:t>
            </w:r>
          </w:p>
        </w:tc>
        <w:tc>
          <w:tcPr>
            <w:tcW w:w="1393" w:type="dxa"/>
            <w:shd w:val="clear" w:color="auto" w:fill="FFFFFF"/>
            <w:vAlign w:val="center"/>
          </w:tcPr>
          <w:p w14:paraId="3E5A51D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R$ 27.360,00</w:t>
            </w:r>
          </w:p>
        </w:tc>
        <w:tc>
          <w:tcPr>
            <w:tcW w:w="1726" w:type="dxa"/>
            <w:shd w:val="clear" w:color="auto" w:fill="FFFFFF"/>
            <w:vAlign w:val="center"/>
          </w:tcPr>
          <w:p w14:paraId="694E077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R$ 27.360,00</w:t>
            </w:r>
          </w:p>
        </w:tc>
      </w:tr>
      <w:tr w14:paraId="02ACC80C">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548" w:hRule="atLeast"/>
        </w:trPr>
        <w:tc>
          <w:tcPr>
            <w:tcW w:w="480" w:type="dxa"/>
            <w:vMerge w:val="restart"/>
            <w:shd w:val="clear" w:color="auto" w:fill="FBE4E8"/>
            <w:vAlign w:val="center"/>
          </w:tcPr>
          <w:p w14:paraId="3022F67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37</w:t>
            </w:r>
          </w:p>
        </w:tc>
        <w:tc>
          <w:tcPr>
            <w:tcW w:w="448" w:type="dxa"/>
            <w:shd w:val="clear" w:color="auto" w:fill="FBE4E8"/>
            <w:vAlign w:val="center"/>
          </w:tcPr>
          <w:p w14:paraId="54207F4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33078F8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87904</w:t>
            </w:r>
          </w:p>
        </w:tc>
        <w:tc>
          <w:tcPr>
            <w:tcW w:w="7283" w:type="dxa"/>
            <w:shd w:val="clear" w:color="auto" w:fill="FBE4E8"/>
            <w:vAlign w:val="center"/>
          </w:tcPr>
          <w:p w14:paraId="0833BA04">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Bolo Pronto: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macio e úmido, com textura e sabor característicos; sem recheio; sabores diversos; adequado para consumo imediato; validade mínima de 80% do prazo inicial ainda válido, contado a partir da data de entrega; produto deve atender às normas da ANVISA e legislações vigentes.</w:t>
            </w:r>
          </w:p>
        </w:tc>
        <w:tc>
          <w:tcPr>
            <w:tcW w:w="1470" w:type="dxa"/>
            <w:shd w:val="clear" w:color="auto" w:fill="FBE4E8"/>
            <w:vAlign w:val="center"/>
          </w:tcPr>
          <w:p w14:paraId="6739C72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250 g</w:t>
            </w:r>
          </w:p>
        </w:tc>
        <w:tc>
          <w:tcPr>
            <w:tcW w:w="744" w:type="dxa"/>
            <w:shd w:val="clear" w:color="auto" w:fill="FBE4E8"/>
            <w:vAlign w:val="center"/>
          </w:tcPr>
          <w:p w14:paraId="4E75308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1640</w:t>
            </w:r>
          </w:p>
        </w:tc>
        <w:tc>
          <w:tcPr>
            <w:tcW w:w="1074" w:type="dxa"/>
            <w:shd w:val="clear" w:color="auto" w:fill="FBE4E8"/>
            <w:vAlign w:val="center"/>
          </w:tcPr>
          <w:p w14:paraId="0D235C0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R$ 8,55</w:t>
            </w:r>
          </w:p>
        </w:tc>
        <w:tc>
          <w:tcPr>
            <w:tcW w:w="1393" w:type="dxa"/>
            <w:shd w:val="clear" w:color="auto" w:fill="FBE4E8"/>
            <w:vAlign w:val="center"/>
          </w:tcPr>
          <w:p w14:paraId="718C744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R$ 14.022,00</w:t>
            </w:r>
          </w:p>
        </w:tc>
        <w:tc>
          <w:tcPr>
            <w:tcW w:w="1726" w:type="dxa"/>
            <w:vMerge w:val="restart"/>
            <w:shd w:val="clear" w:color="auto" w:fill="FBE4E8"/>
            <w:vAlign w:val="center"/>
          </w:tcPr>
          <w:p w14:paraId="034C866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R$ 20.122,00</w:t>
            </w:r>
          </w:p>
        </w:tc>
      </w:tr>
      <w:tr w14:paraId="3131CA7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496" w:hRule="atLeast"/>
        </w:trPr>
        <w:tc>
          <w:tcPr>
            <w:tcW w:w="480" w:type="dxa"/>
            <w:vMerge w:val="continue"/>
            <w:shd w:val="clear" w:color="auto" w:fill="FFFFFF"/>
            <w:vAlign w:val="center"/>
          </w:tcPr>
          <w:p w14:paraId="63E0D0E7">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0871EED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4419FA9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87905</w:t>
            </w:r>
          </w:p>
        </w:tc>
        <w:tc>
          <w:tcPr>
            <w:tcW w:w="7283" w:type="dxa"/>
            <w:shd w:val="clear" w:color="auto" w:fill="FBE4E8"/>
            <w:vAlign w:val="center"/>
          </w:tcPr>
          <w:p w14:paraId="136CB67E">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Bolinho Recheado: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macio; recheio interno de sabores variados; adequado para consumo direto; validade mínima de 80% do prazo inicial ainda válido, contado a partir da data de entrega; produto deve atender às normas da ANVISA e legislações vigentes.</w:t>
            </w:r>
          </w:p>
        </w:tc>
        <w:tc>
          <w:tcPr>
            <w:tcW w:w="1470" w:type="dxa"/>
            <w:shd w:val="clear" w:color="auto" w:fill="FBE4E8"/>
            <w:vAlign w:val="center"/>
          </w:tcPr>
          <w:p w14:paraId="20E0C4C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40g</w:t>
            </w:r>
          </w:p>
        </w:tc>
        <w:tc>
          <w:tcPr>
            <w:tcW w:w="744" w:type="dxa"/>
            <w:shd w:val="clear" w:color="auto" w:fill="FBE4E8"/>
            <w:vAlign w:val="center"/>
          </w:tcPr>
          <w:p w14:paraId="5C3AC04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2500</w:t>
            </w:r>
          </w:p>
        </w:tc>
        <w:tc>
          <w:tcPr>
            <w:tcW w:w="1074" w:type="dxa"/>
            <w:shd w:val="clear" w:color="auto" w:fill="FBE4E8"/>
            <w:vAlign w:val="center"/>
          </w:tcPr>
          <w:p w14:paraId="40AF932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R$ 2,44</w:t>
            </w:r>
          </w:p>
        </w:tc>
        <w:tc>
          <w:tcPr>
            <w:tcW w:w="1393" w:type="dxa"/>
            <w:shd w:val="clear" w:color="auto" w:fill="FBE4E8"/>
            <w:vAlign w:val="center"/>
          </w:tcPr>
          <w:p w14:paraId="2FE665D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R$ 6.100,00</w:t>
            </w:r>
          </w:p>
        </w:tc>
        <w:tc>
          <w:tcPr>
            <w:tcW w:w="1726" w:type="dxa"/>
            <w:vMerge w:val="continue"/>
            <w:shd w:val="clear" w:color="auto" w:fill="FFFFFF"/>
            <w:vAlign w:val="center"/>
          </w:tcPr>
          <w:p w14:paraId="570A814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23A25A4">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628" w:hRule="atLeast"/>
        </w:trPr>
        <w:tc>
          <w:tcPr>
            <w:tcW w:w="480" w:type="dxa"/>
            <w:vMerge w:val="restart"/>
            <w:shd w:val="clear" w:color="auto" w:fill="FFFFFF"/>
            <w:vAlign w:val="center"/>
          </w:tcPr>
          <w:p w14:paraId="1812CEA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38</w:t>
            </w:r>
          </w:p>
        </w:tc>
        <w:tc>
          <w:tcPr>
            <w:tcW w:w="448" w:type="dxa"/>
            <w:shd w:val="clear" w:color="auto" w:fill="FFFFFF"/>
            <w:vAlign w:val="center"/>
          </w:tcPr>
          <w:p w14:paraId="03A8A15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54A80A9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87906</w:t>
            </w:r>
          </w:p>
        </w:tc>
        <w:tc>
          <w:tcPr>
            <w:tcW w:w="7283" w:type="dxa"/>
            <w:shd w:val="clear" w:color="auto" w:fill="FFFFFF"/>
            <w:vAlign w:val="center"/>
          </w:tcPr>
          <w:p w14:paraId="06799EDF">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Wafer de Chocolate (Bis ou Equivalente):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crocante, com camadas finas de wafer e cobertura de chocolate, de cor marrom escuro, com sabor doce e aroma característico do chocolate; validade mínima de 80% do prazo inicial ainda válido, contado a partir da data de entrega; produto deve atender às normas da ANVISA e legislações vigentes.</w:t>
            </w:r>
          </w:p>
        </w:tc>
        <w:tc>
          <w:tcPr>
            <w:tcW w:w="1470" w:type="dxa"/>
            <w:shd w:val="clear" w:color="auto" w:fill="FFFFFF"/>
            <w:vAlign w:val="center"/>
          </w:tcPr>
          <w:p w14:paraId="7E4A427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100,8g</w:t>
            </w:r>
          </w:p>
        </w:tc>
        <w:tc>
          <w:tcPr>
            <w:tcW w:w="744" w:type="dxa"/>
            <w:shd w:val="clear" w:color="auto" w:fill="FFFFFF"/>
            <w:vAlign w:val="center"/>
          </w:tcPr>
          <w:p w14:paraId="0C7A468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1700</w:t>
            </w:r>
          </w:p>
        </w:tc>
        <w:tc>
          <w:tcPr>
            <w:tcW w:w="1074" w:type="dxa"/>
            <w:shd w:val="clear" w:color="auto" w:fill="FFFFFF"/>
            <w:vAlign w:val="center"/>
          </w:tcPr>
          <w:p w14:paraId="244B91A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R$ 6,47</w:t>
            </w:r>
          </w:p>
        </w:tc>
        <w:tc>
          <w:tcPr>
            <w:tcW w:w="1393" w:type="dxa"/>
            <w:shd w:val="clear" w:color="auto" w:fill="FFFFFF"/>
            <w:vAlign w:val="center"/>
          </w:tcPr>
          <w:p w14:paraId="187EF88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R$ 10.999,00</w:t>
            </w:r>
          </w:p>
        </w:tc>
        <w:tc>
          <w:tcPr>
            <w:tcW w:w="1726" w:type="dxa"/>
            <w:vMerge w:val="restart"/>
            <w:shd w:val="clear" w:color="auto" w:fill="FFFFFF"/>
            <w:vAlign w:val="center"/>
          </w:tcPr>
          <w:p w14:paraId="0ACC9D0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R$ 45.649,60</w:t>
            </w:r>
          </w:p>
        </w:tc>
      </w:tr>
      <w:tr w14:paraId="64E6EE6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803" w:hRule="atLeast"/>
        </w:trPr>
        <w:tc>
          <w:tcPr>
            <w:tcW w:w="480" w:type="dxa"/>
            <w:vMerge w:val="continue"/>
            <w:shd w:val="clear" w:color="auto" w:fill="FFFFFF"/>
            <w:vAlign w:val="center"/>
          </w:tcPr>
          <w:p w14:paraId="468CEF0A">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590A04D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pt-BR" w:eastAsia="zh-CN" w:bidi="ar"/>
              </w:rPr>
              <w:t>2</w:t>
            </w:r>
          </w:p>
        </w:tc>
        <w:tc>
          <w:tcPr>
            <w:tcW w:w="792" w:type="dxa"/>
            <w:shd w:val="clear" w:color="auto" w:fill="FFFFFF"/>
            <w:vAlign w:val="center"/>
          </w:tcPr>
          <w:p w14:paraId="44C87AB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87907</w:t>
            </w:r>
          </w:p>
        </w:tc>
        <w:tc>
          <w:tcPr>
            <w:tcW w:w="7283" w:type="dxa"/>
            <w:shd w:val="clear" w:color="auto" w:fill="FFFFFF"/>
            <w:vAlign w:val="center"/>
          </w:tcPr>
          <w:p w14:paraId="6EB45566">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Caixa de Variedades (chocolates):</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embalagem contendo chocolates diversos (bombons, trufas, tabletes, entre outros), com cores e formatos variados, com sabor e aroma característicos de chocolate, podendo ser ao leite, amargo ou branco; adequado para consumo direto, como presente ou sobremesa; validade mínima de 80% do prazo inicial ainda válido, contado a partir da data de entrega; produto deve atender às normas da ANVISA e legislações vigentes.</w:t>
            </w:r>
          </w:p>
        </w:tc>
        <w:tc>
          <w:tcPr>
            <w:tcW w:w="1470" w:type="dxa"/>
            <w:shd w:val="clear" w:color="auto" w:fill="FFFFFF"/>
            <w:vAlign w:val="center"/>
          </w:tcPr>
          <w:p w14:paraId="0FF2ACD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250 g</w:t>
            </w:r>
          </w:p>
        </w:tc>
        <w:tc>
          <w:tcPr>
            <w:tcW w:w="744" w:type="dxa"/>
            <w:shd w:val="clear" w:color="auto" w:fill="FFFFFF"/>
            <w:vAlign w:val="center"/>
          </w:tcPr>
          <w:p w14:paraId="7DF2688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1620</w:t>
            </w:r>
          </w:p>
        </w:tc>
        <w:tc>
          <w:tcPr>
            <w:tcW w:w="1074" w:type="dxa"/>
            <w:shd w:val="clear" w:color="auto" w:fill="FFFFFF"/>
            <w:vAlign w:val="center"/>
          </w:tcPr>
          <w:p w14:paraId="305E090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R$ 13,38</w:t>
            </w:r>
          </w:p>
        </w:tc>
        <w:tc>
          <w:tcPr>
            <w:tcW w:w="1393" w:type="dxa"/>
            <w:shd w:val="clear" w:color="auto" w:fill="FFFFFF"/>
            <w:vAlign w:val="center"/>
          </w:tcPr>
          <w:p w14:paraId="2BAE486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R$ 21.675,60</w:t>
            </w:r>
          </w:p>
        </w:tc>
        <w:tc>
          <w:tcPr>
            <w:tcW w:w="1726" w:type="dxa"/>
            <w:vMerge w:val="continue"/>
            <w:shd w:val="clear" w:color="auto" w:fill="FFFFFF"/>
            <w:vAlign w:val="center"/>
          </w:tcPr>
          <w:p w14:paraId="1BAA7CE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2F966CFA">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88" w:hRule="atLeast"/>
        </w:trPr>
        <w:tc>
          <w:tcPr>
            <w:tcW w:w="480" w:type="dxa"/>
            <w:vMerge w:val="continue"/>
            <w:shd w:val="clear" w:color="auto" w:fill="FFFFFF"/>
            <w:vAlign w:val="center"/>
          </w:tcPr>
          <w:p w14:paraId="73783B24">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2A07F82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FFFFF"/>
            <w:vAlign w:val="center"/>
          </w:tcPr>
          <w:p w14:paraId="72AC9F4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87908</w:t>
            </w:r>
          </w:p>
        </w:tc>
        <w:tc>
          <w:tcPr>
            <w:tcW w:w="7283" w:type="dxa"/>
            <w:shd w:val="clear" w:color="auto" w:fill="FFFFFF"/>
            <w:vAlign w:val="center"/>
          </w:tcPr>
          <w:p w14:paraId="2F2A982C">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Bombom:</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pequeno doce coberto com chocolate branco ou convencional (conforme solicitação da contratante), com recheio cremoso ou sólido; validade mínima de 80% do prazo inicial ainda válido, contado a partir da data de entrega; produto deve atender às normas da ANVISA e legislações vigentes.</w:t>
            </w:r>
          </w:p>
        </w:tc>
        <w:tc>
          <w:tcPr>
            <w:tcW w:w="1470" w:type="dxa"/>
            <w:shd w:val="clear" w:color="auto" w:fill="FFFFFF"/>
            <w:vAlign w:val="center"/>
          </w:tcPr>
          <w:p w14:paraId="302C065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kg</w:t>
            </w:r>
          </w:p>
        </w:tc>
        <w:tc>
          <w:tcPr>
            <w:tcW w:w="744" w:type="dxa"/>
            <w:shd w:val="clear" w:color="auto" w:fill="FFFFFF"/>
            <w:vAlign w:val="center"/>
          </w:tcPr>
          <w:p w14:paraId="5B878D9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FFFFF"/>
            <w:vAlign w:val="center"/>
          </w:tcPr>
          <w:p w14:paraId="4F99525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R$ 51,90</w:t>
            </w:r>
          </w:p>
        </w:tc>
        <w:tc>
          <w:tcPr>
            <w:tcW w:w="1393" w:type="dxa"/>
            <w:shd w:val="clear" w:color="auto" w:fill="FFFFFF"/>
            <w:vAlign w:val="center"/>
          </w:tcPr>
          <w:p w14:paraId="0684E04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R$ 12.975,00</w:t>
            </w:r>
          </w:p>
        </w:tc>
        <w:tc>
          <w:tcPr>
            <w:tcW w:w="1726" w:type="dxa"/>
            <w:vMerge w:val="continue"/>
            <w:shd w:val="clear" w:color="auto" w:fill="FFFFFF"/>
            <w:vAlign w:val="center"/>
          </w:tcPr>
          <w:p w14:paraId="0338A8C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436AFA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70" w:hRule="atLeast"/>
        </w:trPr>
        <w:tc>
          <w:tcPr>
            <w:tcW w:w="480" w:type="dxa"/>
            <w:shd w:val="clear" w:color="auto" w:fill="FBE4E8"/>
            <w:vAlign w:val="center"/>
          </w:tcPr>
          <w:p w14:paraId="5E95117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39</w:t>
            </w:r>
          </w:p>
        </w:tc>
        <w:tc>
          <w:tcPr>
            <w:tcW w:w="448" w:type="dxa"/>
            <w:shd w:val="clear" w:color="auto" w:fill="FBE4E8"/>
            <w:vAlign w:val="center"/>
          </w:tcPr>
          <w:p w14:paraId="1C1641D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0FC0F81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87909</w:t>
            </w:r>
          </w:p>
        </w:tc>
        <w:tc>
          <w:tcPr>
            <w:tcW w:w="7283" w:type="dxa"/>
            <w:shd w:val="clear" w:color="auto" w:fill="FBE4E8"/>
            <w:vAlign w:val="center"/>
          </w:tcPr>
          <w:p w14:paraId="1C1F5D08">
            <w:pPr>
              <w:keepNext w:val="0"/>
              <w:keepLines w:val="0"/>
              <w:widowControl/>
              <w:suppressLineNumbers w:val="0"/>
              <w:jc w:val="left"/>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Salgadinho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crocante; com cor amarela ou dourada; sabores variados; adequado para consumo direto ou em lanches, festas e eventos; validade mínima de 80% do prazo inicial ainda válido, contado a partir da data de entrega; produto deve atender às normas da ANVISA e legislações vigentes.</w:t>
            </w:r>
          </w:p>
        </w:tc>
        <w:tc>
          <w:tcPr>
            <w:tcW w:w="1470" w:type="dxa"/>
            <w:shd w:val="clear" w:color="auto" w:fill="FBE4E8"/>
            <w:vAlign w:val="center"/>
          </w:tcPr>
          <w:p w14:paraId="0706FEB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 g</w:t>
            </w:r>
          </w:p>
        </w:tc>
        <w:tc>
          <w:tcPr>
            <w:tcW w:w="744" w:type="dxa"/>
            <w:shd w:val="clear" w:color="auto" w:fill="FBE4E8"/>
            <w:vAlign w:val="center"/>
          </w:tcPr>
          <w:p w14:paraId="7AC7DEE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4400</w:t>
            </w:r>
          </w:p>
        </w:tc>
        <w:tc>
          <w:tcPr>
            <w:tcW w:w="1074" w:type="dxa"/>
            <w:shd w:val="clear" w:color="auto" w:fill="FBE4E8"/>
            <w:vAlign w:val="center"/>
          </w:tcPr>
          <w:p w14:paraId="0379CFF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R$ 2,87</w:t>
            </w:r>
          </w:p>
        </w:tc>
        <w:tc>
          <w:tcPr>
            <w:tcW w:w="1393" w:type="dxa"/>
            <w:shd w:val="clear" w:color="auto" w:fill="FBE4E8"/>
            <w:vAlign w:val="center"/>
          </w:tcPr>
          <w:p w14:paraId="1CEF60B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R$ 12.628,00</w:t>
            </w:r>
          </w:p>
        </w:tc>
        <w:tc>
          <w:tcPr>
            <w:tcW w:w="1726" w:type="dxa"/>
            <w:shd w:val="clear" w:color="auto" w:fill="FBE4E8"/>
            <w:vAlign w:val="center"/>
          </w:tcPr>
          <w:p w14:paraId="2372429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R$ 12.628,00</w:t>
            </w:r>
          </w:p>
        </w:tc>
      </w:tr>
    </w:tbl>
    <w:p w14:paraId="20A105C2">
      <w:pPr>
        <w:keepNext w:val="0"/>
        <w:keepLines w:val="0"/>
        <w:pageBreakBefore w:val="0"/>
        <w:kinsoku/>
        <w:wordWrap/>
        <w:overflowPunct/>
        <w:topLinePunct w:val="0"/>
        <w:bidi w:val="0"/>
        <w:adjustRightInd/>
        <w:snapToGrid/>
        <w:spacing w:line="240" w:lineRule="auto"/>
        <w:jc w:val="both"/>
        <w:rPr>
          <w:rFonts w:hint="default" w:ascii="Calibri" w:hAnsi="Calibri" w:cs="Calibri"/>
          <w:sz w:val="22"/>
          <w:szCs w:val="22"/>
        </w:rPr>
      </w:pPr>
    </w:p>
    <w:p w14:paraId="6DCA9FE4">
      <w:pPr>
        <w:keepNext w:val="0"/>
        <w:keepLines w:val="0"/>
        <w:pageBreakBefore w:val="0"/>
        <w:kinsoku/>
        <w:wordWrap/>
        <w:overflowPunct/>
        <w:topLinePunct w:val="0"/>
        <w:bidi w:val="0"/>
        <w:adjustRightInd/>
        <w:snapToGrid/>
        <w:spacing w:line="240" w:lineRule="auto"/>
        <w:jc w:val="both"/>
        <w:rPr>
          <w:rFonts w:hint="default" w:ascii="Calibri" w:hAnsi="Calibri" w:cs="Calibri"/>
          <w:sz w:val="22"/>
          <w:szCs w:val="22"/>
        </w:rPr>
      </w:pPr>
    </w:p>
    <w:p w14:paraId="0F1C7E2D">
      <w:pPr>
        <w:pStyle w:val="134"/>
        <w:spacing w:after="120"/>
        <w:ind w:left="0"/>
        <w:rPr>
          <w:rFonts w:hint="default" w:ascii="Calibri" w:hAnsi="Calibri" w:cs="Calibri"/>
          <w:b/>
          <w:sz w:val="21"/>
          <w:szCs w:val="21"/>
          <w:u w:val="single"/>
        </w:rPr>
      </w:pPr>
      <w:r>
        <w:rPr>
          <w:rFonts w:hint="default" w:ascii="Calibri" w:hAnsi="Calibri" w:cs="Calibri"/>
          <w:b/>
          <w:sz w:val="21"/>
          <w:szCs w:val="21"/>
          <w:u w:val="single"/>
        </w:rPr>
        <w:t>Obs.:  Os preços limites constantes deste anexo deverão ser observados pelo Pregoeiro no julgamento das propostas, e refletem os preços médios obtidos pela Secretaria requisitante, mediante consulta a várias empresas de cada ramo de atividade, bem como a contratos anteriores praticados pela administração, sendo sua definição, de responsabilidade da autoridade que abaixo assina.</w:t>
      </w:r>
    </w:p>
    <w:p w14:paraId="33EF2D8E">
      <w:pPr>
        <w:pStyle w:val="134"/>
        <w:spacing w:after="120"/>
        <w:ind w:left="0"/>
        <w:jc w:val="center"/>
        <w:rPr>
          <w:rFonts w:ascii="Arial" w:hAnsi="Arial" w:cs="Arial"/>
          <w:b/>
          <w:sz w:val="18"/>
          <w:szCs w:val="18"/>
        </w:rPr>
      </w:pPr>
      <w:r>
        <w:rPr>
          <w:rFonts w:hint="default" w:ascii="Calibri" w:hAnsi="Calibri" w:cs="Calibri"/>
          <w:b/>
          <w:sz w:val="21"/>
          <w:szCs w:val="21"/>
          <w:highlight w:val="yellow"/>
          <w:u w:val="single"/>
        </w:rPr>
        <w:t>Não serão aceitos valores unitários e globais maiores que os valores fixados em edital ao final da disputa de lances</w:t>
      </w:r>
    </w:p>
    <w:p w14:paraId="04C7610E">
      <w:pPr>
        <w:spacing w:line="276" w:lineRule="auto"/>
        <w:jc w:val="both"/>
        <w:rPr>
          <w:rFonts w:hint="default" w:ascii="Calibri" w:hAnsi="Calibri" w:cs="Calibri"/>
          <w:b/>
          <w:sz w:val="22"/>
          <w:szCs w:val="22"/>
        </w:rPr>
        <w:sectPr>
          <w:pgSz w:w="16838" w:h="11905" w:orient="landscape"/>
          <w:pgMar w:top="1701" w:right="584" w:bottom="986" w:left="1134" w:header="454" w:footer="0" w:gutter="0"/>
          <w:pgBorders>
            <w:top w:val="none" w:sz="0" w:space="0"/>
            <w:left w:val="none" w:sz="0" w:space="0"/>
            <w:bottom w:val="none" w:sz="0" w:space="0"/>
            <w:right w:val="none" w:sz="0" w:space="0"/>
          </w:pgBorders>
          <w:pgNumType w:fmt="decimal"/>
          <w:cols w:space="0" w:num="1"/>
          <w:rtlGutter w:val="0"/>
          <w:docGrid w:linePitch="326" w:charSpace="0"/>
        </w:sectPr>
      </w:pPr>
    </w:p>
    <w:p w14:paraId="6E74B89E">
      <w:pPr>
        <w:spacing w:line="276" w:lineRule="auto"/>
        <w:jc w:val="both"/>
        <w:rPr>
          <w:rFonts w:hint="default" w:ascii="Calibri" w:hAnsi="Calibri"/>
          <w:sz w:val="21"/>
          <w:szCs w:val="21"/>
        </w:rPr>
      </w:pPr>
      <w:r>
        <w:rPr>
          <w:rFonts w:hint="default" w:ascii="Calibri" w:hAnsi="Calibri" w:cs="Calibri"/>
          <w:b/>
          <w:sz w:val="22"/>
          <w:szCs w:val="22"/>
        </w:rPr>
        <w:t xml:space="preserve">JUSTIFICATIVA REFERENTE AO OBJETO/SERVIÇO SOLICITADO: </w:t>
      </w:r>
      <w:r>
        <w:rPr>
          <w:rFonts w:hint="default" w:ascii="Calibri" w:hAnsi="Calibri"/>
          <w:sz w:val="21"/>
          <w:szCs w:val="21"/>
        </w:rPr>
        <w:t>A Secretaria de Assistência e Desenvolvimento Social (SADS) desempenha um papel essencial na promoção do bem-estar e melhoria da qualidade de vida dos cidadãos, oferecendo suporte social e programas de inclusão e desenvolvimento. Seus Projetos Sociais são fundamentais para atender às necessidades emergenciais e de longo prazo da comunidade, fornecendo recursos básicos e programas especializados que promovem a inclusão social e o desenvolvimento pessoal e profissional.</w:t>
      </w:r>
    </w:p>
    <w:p w14:paraId="5EEA35F4">
      <w:pPr>
        <w:spacing w:line="276" w:lineRule="auto"/>
        <w:jc w:val="both"/>
        <w:rPr>
          <w:rFonts w:hint="default" w:ascii="Calibri" w:hAnsi="Calibri"/>
          <w:sz w:val="21"/>
          <w:szCs w:val="21"/>
        </w:rPr>
      </w:pPr>
    </w:p>
    <w:p w14:paraId="757EF26E">
      <w:pPr>
        <w:spacing w:line="276" w:lineRule="auto"/>
        <w:jc w:val="both"/>
        <w:rPr>
          <w:rFonts w:hint="default" w:ascii="Calibri" w:hAnsi="Calibri"/>
          <w:sz w:val="21"/>
          <w:szCs w:val="21"/>
        </w:rPr>
      </w:pPr>
      <w:r>
        <w:rPr>
          <w:rFonts w:hint="default" w:ascii="Calibri" w:hAnsi="Calibri"/>
          <w:sz w:val="21"/>
          <w:szCs w:val="21"/>
        </w:rPr>
        <w:t>A alimentação é um direito fundamental e essencial para a saúde e qualidade de vida das pessoas. A oferta de gêneros alimentícios adequados contribui para a promoção de uma alimentação balanceada e variada, capaz de suprir as necessidades nutricionais da população assistida. Em particular, para grupos em situação de vulnerabilidade, como crianças, idosos, pessoas com deficiência e famílias em situação de extrema pobreza, garantir o acesso a alimentos saudáveis é essencial para prevenir deficiências nutricionais e outras doenças relacionadas à alimentação inadequada, estando de acordo com a missão da Secretaria Municipal de Assistência e Desenvolvimento Social.</w:t>
      </w:r>
    </w:p>
    <w:p w14:paraId="293B9309">
      <w:pPr>
        <w:spacing w:line="276" w:lineRule="auto"/>
        <w:jc w:val="both"/>
        <w:rPr>
          <w:rFonts w:hint="default" w:ascii="Calibri" w:hAnsi="Calibri"/>
          <w:sz w:val="21"/>
          <w:szCs w:val="21"/>
        </w:rPr>
      </w:pPr>
    </w:p>
    <w:p w14:paraId="497C778A">
      <w:pPr>
        <w:spacing w:line="276" w:lineRule="auto"/>
        <w:jc w:val="both"/>
        <w:rPr>
          <w:rFonts w:hint="default" w:ascii="Calibri" w:hAnsi="Calibri"/>
          <w:sz w:val="21"/>
          <w:szCs w:val="21"/>
        </w:rPr>
      </w:pPr>
      <w:r>
        <w:rPr>
          <w:rFonts w:hint="default" w:ascii="Calibri" w:hAnsi="Calibri"/>
          <w:sz w:val="21"/>
          <w:szCs w:val="21"/>
        </w:rPr>
        <w:t>Seguir os princípios da administração pública, como legalidade, impessoalidade, moralidade, publicidade e eficiência, também é uma parte fundamental do processo de aquisição. Esses princípios garantem que a compra seja realizada de forma transparente, ética e conforme a legislação vigente, promovendo a confiança pública e assegurando que os recursos sejam utilizados da melhor maneira possível.</w:t>
      </w:r>
    </w:p>
    <w:p w14:paraId="1923ED72">
      <w:pPr>
        <w:spacing w:line="276" w:lineRule="auto"/>
        <w:jc w:val="both"/>
        <w:rPr>
          <w:rFonts w:hint="default" w:ascii="Calibri" w:hAnsi="Calibri"/>
          <w:sz w:val="21"/>
          <w:szCs w:val="21"/>
        </w:rPr>
      </w:pPr>
    </w:p>
    <w:p w14:paraId="7B3E1A3C">
      <w:pPr>
        <w:spacing w:line="276" w:lineRule="auto"/>
        <w:jc w:val="both"/>
        <w:rPr>
          <w:rFonts w:hint="default" w:ascii="Calibri" w:hAnsi="Calibri"/>
          <w:sz w:val="21"/>
          <w:szCs w:val="21"/>
          <w:lang w:val="pt-BR"/>
        </w:rPr>
      </w:pPr>
      <w:r>
        <w:rPr>
          <w:rFonts w:hint="default" w:ascii="Calibri" w:hAnsi="Calibri"/>
          <w:sz w:val="21"/>
          <w:szCs w:val="21"/>
        </w:rPr>
        <w:t>Sendo assim, considerando as disposições acima, bem como o Estudo Técnico Preliminar, justifica-se a contratação pretendida.</w:t>
      </w:r>
      <w:r>
        <w:rPr>
          <w:rFonts w:hint="default" w:ascii="Calibri" w:hAnsi="Calibri"/>
          <w:sz w:val="21"/>
          <w:szCs w:val="21"/>
          <w:lang w:val="pt-BR"/>
        </w:rPr>
        <w:t xml:space="preserve"> </w:t>
      </w:r>
    </w:p>
    <w:p w14:paraId="619E1D90">
      <w:pPr>
        <w:jc w:val="both"/>
        <w:rPr>
          <w:rFonts w:hint="default" w:ascii="Calibri" w:hAnsi="Calibri" w:cs="Calibri"/>
          <w:bCs/>
          <w:sz w:val="22"/>
          <w:szCs w:val="22"/>
        </w:rPr>
      </w:pPr>
    </w:p>
    <w:p w14:paraId="2B71EB90">
      <w:pPr>
        <w:pStyle w:val="135"/>
        <w:shd w:val="clear" w:color="auto"/>
        <w:jc w:val="both"/>
        <w:rPr>
          <w:rFonts w:hint="default" w:ascii="Calibri" w:hAnsi="Calibri" w:eastAsia="Arial" w:cs="Calibri"/>
          <w:color w:val="auto"/>
          <w:sz w:val="22"/>
          <w:szCs w:val="22"/>
          <w:shd w:val="clear" w:color="auto" w:fill="C2D69B" w:themeFill="accent3" w:themeFillTint="99"/>
          <w:lang w:val="pt-BR"/>
        </w:rPr>
      </w:pPr>
      <w:r>
        <w:rPr>
          <w:rFonts w:hint="default" w:ascii="Calibri" w:hAnsi="Calibri" w:eastAsia="Arial" w:cs="Calibri"/>
          <w:b/>
          <w:sz w:val="22"/>
          <w:szCs w:val="22"/>
          <w:shd w:val="clear" w:color="auto" w:fill="F2B1BC"/>
        </w:rPr>
        <w:t xml:space="preserve">DOTAÇÃO/VALOR: </w:t>
      </w:r>
      <w:r>
        <w:rPr>
          <w:rFonts w:hint="default" w:ascii="Calibri" w:hAnsi="Calibri" w:eastAsia="Arial" w:cs="Calibri"/>
          <w:sz w:val="22"/>
          <w:szCs w:val="22"/>
          <w:shd w:val="clear" w:color="auto" w:fill="F2B1BC"/>
        </w:rPr>
        <w:t>R</w:t>
      </w:r>
      <w:r>
        <w:rPr>
          <w:rFonts w:hint="default" w:ascii="Calibri" w:hAnsi="Calibri" w:eastAsia="Arial" w:cs="Calibri"/>
          <w:color w:val="auto"/>
          <w:sz w:val="22"/>
          <w:szCs w:val="22"/>
          <w:shd w:val="clear" w:color="auto" w:fill="F2B1BC"/>
        </w:rPr>
        <w:t>$</w:t>
      </w:r>
      <w:r>
        <w:rPr>
          <w:rFonts w:hint="default" w:ascii="Calibri" w:hAnsi="Calibri" w:eastAsia="Arial" w:cs="Calibri"/>
          <w:color w:val="auto"/>
          <w:sz w:val="22"/>
          <w:szCs w:val="22"/>
          <w:shd w:val="clear" w:color="auto" w:fill="F2B1BC"/>
          <w:lang w:val="pt-BR"/>
        </w:rPr>
        <w:t xml:space="preserve"> 538.865,87</w:t>
      </w:r>
      <w:r>
        <w:rPr>
          <w:rFonts w:hint="default" w:ascii="Calibri" w:hAnsi="Calibri" w:eastAsia="Arial" w:cs="Calibri"/>
          <w:color w:val="auto"/>
          <w:sz w:val="22"/>
          <w:szCs w:val="22"/>
          <w:shd w:val="clear" w:color="auto" w:fill="F2B1BC"/>
        </w:rPr>
        <w:t xml:space="preserve"> (</w:t>
      </w:r>
      <w:r>
        <w:rPr>
          <w:rFonts w:hint="default" w:ascii="Calibri" w:hAnsi="Calibri" w:eastAsia="Arial" w:cs="Calibri"/>
          <w:color w:val="auto"/>
          <w:sz w:val="22"/>
          <w:szCs w:val="22"/>
          <w:shd w:val="clear" w:color="auto" w:fill="F2B1BC"/>
          <w:lang w:val="pt-BR"/>
        </w:rPr>
        <w:t>Quinhentos e trinta e oito mil, oitocentos e sessenta e cinco reais e oitenta e sete centavos)</w:t>
      </w:r>
    </w:p>
    <w:p w14:paraId="300CF429">
      <w:pPr>
        <w:pStyle w:val="135"/>
        <w:shd w:val="clear" w:color="auto"/>
        <w:jc w:val="both"/>
        <w:rPr>
          <w:rFonts w:hint="default" w:ascii="Calibri" w:hAnsi="Calibri" w:eastAsia="Arial" w:cs="Calibri"/>
          <w:color w:val="auto"/>
          <w:sz w:val="22"/>
          <w:szCs w:val="22"/>
          <w:shd w:val="clear" w:color="auto" w:fill="C2D69B" w:themeFill="accent3" w:themeFillTint="99"/>
          <w:lang w:val="pt-BR"/>
        </w:rPr>
      </w:pPr>
    </w:p>
    <w:p w14:paraId="61DAEA79">
      <w:pPr>
        <w:jc w:val="both"/>
        <w:rPr>
          <w:rFonts w:hint="default" w:ascii="Calibri" w:hAnsi="Calibri" w:cs="Calibri"/>
          <w:b w:val="0"/>
          <w:bCs w:val="0"/>
          <w:sz w:val="21"/>
          <w:szCs w:val="21"/>
        </w:rPr>
      </w:pPr>
      <w:r>
        <w:rPr>
          <w:rFonts w:hint="default" w:ascii="Calibri" w:hAnsi="Calibri" w:cs="Calibri"/>
          <w:b/>
          <w:sz w:val="21"/>
          <w:szCs w:val="21"/>
        </w:rPr>
        <w:t xml:space="preserve">VIGÊNCIA: </w:t>
      </w:r>
      <w:r>
        <w:rPr>
          <w:rFonts w:hint="default" w:ascii="Calibri" w:hAnsi="Calibri" w:cs="Calibri"/>
          <w:b w:val="0"/>
          <w:bCs w:val="0"/>
          <w:sz w:val="21"/>
          <w:szCs w:val="21"/>
        </w:rPr>
        <w:t xml:space="preserve">A Ata de Registro de Preços vigorará pelo prazo de 12 meses a contar da data de sua assinatura e poderá ser prorrogado, por igual período, conforme Art 84 da Lei 14.133/21. </w:t>
      </w:r>
    </w:p>
    <w:p w14:paraId="65D4E04F">
      <w:pPr>
        <w:jc w:val="both"/>
        <w:rPr>
          <w:rFonts w:hint="default" w:ascii="Calibri" w:hAnsi="Calibri" w:cs="Calibri"/>
          <w:b w:val="0"/>
          <w:bCs w:val="0"/>
          <w:sz w:val="21"/>
          <w:szCs w:val="21"/>
        </w:rPr>
      </w:pPr>
    </w:p>
    <w:p w14:paraId="7DE4D7D3">
      <w:pPr>
        <w:keepNext w:val="0"/>
        <w:keepLines w:val="0"/>
        <w:pageBreakBefore w:val="0"/>
        <w:widowControl/>
        <w:kinsoku/>
        <w:wordWrap/>
        <w:overflowPunct/>
        <w:topLinePunct w:val="0"/>
        <w:autoSpaceDE/>
        <w:autoSpaceDN/>
        <w:bidi w:val="0"/>
        <w:adjustRightInd/>
        <w:snapToGrid/>
        <w:jc w:val="both"/>
        <w:textAlignment w:val="auto"/>
        <w:rPr>
          <w:rFonts w:hint="default" w:ascii="Calibri" w:hAnsi="Calibri" w:cs="Calibri"/>
          <w:b/>
          <w:sz w:val="22"/>
          <w:szCs w:val="22"/>
        </w:rPr>
      </w:pPr>
      <w:r>
        <w:rPr>
          <w:rFonts w:hint="default" w:ascii="Calibri" w:hAnsi="Calibri" w:cs="Calibri"/>
          <w:b/>
          <w:sz w:val="22"/>
          <w:szCs w:val="22"/>
        </w:rPr>
        <w:t xml:space="preserve">PRAZO DE </w:t>
      </w:r>
      <w:r>
        <w:rPr>
          <w:rFonts w:hint="default" w:ascii="Calibri" w:hAnsi="Calibri" w:cs="Calibri"/>
          <w:b/>
          <w:sz w:val="22"/>
          <w:szCs w:val="22"/>
          <w:lang w:val="pt-BR"/>
        </w:rPr>
        <w:t>ENTREGA</w:t>
      </w:r>
      <w:r>
        <w:rPr>
          <w:rFonts w:hint="default" w:ascii="Calibri" w:hAnsi="Calibri" w:cs="Calibri"/>
          <w:b/>
          <w:sz w:val="22"/>
          <w:szCs w:val="22"/>
        </w:rPr>
        <w:t xml:space="preserve">: </w:t>
      </w:r>
    </w:p>
    <w:p w14:paraId="73B267CC">
      <w:pPr>
        <w:jc w:val="both"/>
        <w:rPr>
          <w:rFonts w:hint="default" w:ascii="Calibri" w:hAnsi="Calibri" w:cs="Calibri"/>
          <w:b/>
          <w:sz w:val="21"/>
          <w:szCs w:val="21"/>
          <w:lang w:val="pt-BR"/>
        </w:rPr>
      </w:pPr>
    </w:p>
    <w:p w14:paraId="55E8C6C6">
      <w:pPr>
        <w:keepNext w:val="0"/>
        <w:keepLines w:val="0"/>
        <w:pageBreakBefore w:val="0"/>
        <w:widowControl/>
        <w:numPr>
          <w:ilvl w:val="0"/>
          <w:numId w:val="10"/>
        </w:numPr>
        <w:tabs>
          <w:tab w:val="left" w:pos="240"/>
        </w:tabs>
        <w:kinsoku/>
        <w:wordWrap/>
        <w:overflowPunct/>
        <w:topLinePunct w:val="0"/>
        <w:autoSpaceDE/>
        <w:autoSpaceDN/>
        <w:bidi w:val="0"/>
        <w:adjustRightInd/>
        <w:snapToGrid/>
        <w:ind w:left="0" w:leftChars="0" w:firstLine="0" w:firstLineChars="0"/>
        <w:jc w:val="both"/>
        <w:textAlignment w:val="auto"/>
        <w:rPr>
          <w:rFonts w:hint="default" w:ascii="Calibri" w:hAnsi="Calibri"/>
          <w:b w:val="0"/>
          <w:bCs/>
          <w:sz w:val="21"/>
          <w:szCs w:val="21"/>
        </w:rPr>
      </w:pPr>
      <w:r>
        <w:rPr>
          <w:rFonts w:hint="default" w:ascii="Calibri" w:hAnsi="Calibri"/>
          <w:b w:val="0"/>
          <w:bCs/>
          <w:sz w:val="21"/>
          <w:szCs w:val="21"/>
        </w:rPr>
        <w:t>Os empenhos aplicáveis serão encaminhados previamente à CONTRATADA, juntamente com a solicitação formal de entrega.</w:t>
      </w:r>
    </w:p>
    <w:p w14:paraId="6BB5B25E">
      <w:pPr>
        <w:keepNext w:val="0"/>
        <w:keepLines w:val="0"/>
        <w:pageBreakBefore w:val="0"/>
        <w:widowControl/>
        <w:numPr>
          <w:ilvl w:val="0"/>
          <w:numId w:val="0"/>
        </w:numPr>
        <w:tabs>
          <w:tab w:val="left" w:pos="240"/>
        </w:tabs>
        <w:kinsoku/>
        <w:wordWrap/>
        <w:overflowPunct/>
        <w:topLinePunct w:val="0"/>
        <w:autoSpaceDE/>
        <w:autoSpaceDN/>
        <w:bidi w:val="0"/>
        <w:adjustRightInd/>
        <w:snapToGrid/>
        <w:ind w:leftChars="0"/>
        <w:jc w:val="both"/>
        <w:textAlignment w:val="auto"/>
        <w:rPr>
          <w:rFonts w:hint="default" w:ascii="Calibri" w:hAnsi="Calibri"/>
          <w:b w:val="0"/>
          <w:bCs/>
          <w:sz w:val="21"/>
          <w:szCs w:val="21"/>
        </w:rPr>
      </w:pPr>
    </w:p>
    <w:p w14:paraId="71C06085">
      <w:pPr>
        <w:keepNext w:val="0"/>
        <w:keepLines w:val="0"/>
        <w:pageBreakBefore w:val="0"/>
        <w:widowControl/>
        <w:numPr>
          <w:ilvl w:val="0"/>
          <w:numId w:val="10"/>
        </w:numPr>
        <w:tabs>
          <w:tab w:val="left" w:pos="240"/>
        </w:tabs>
        <w:kinsoku/>
        <w:wordWrap/>
        <w:overflowPunct/>
        <w:topLinePunct w:val="0"/>
        <w:autoSpaceDE/>
        <w:autoSpaceDN/>
        <w:bidi w:val="0"/>
        <w:adjustRightInd/>
        <w:snapToGrid/>
        <w:ind w:left="0" w:leftChars="0" w:firstLine="0" w:firstLineChars="0"/>
        <w:jc w:val="both"/>
        <w:textAlignment w:val="auto"/>
        <w:rPr>
          <w:rFonts w:hint="default" w:ascii="Calibri" w:hAnsi="Calibri"/>
          <w:b w:val="0"/>
          <w:bCs/>
          <w:sz w:val="21"/>
          <w:szCs w:val="21"/>
        </w:rPr>
      </w:pPr>
      <w:r>
        <w:rPr>
          <w:rFonts w:hint="default" w:ascii="Calibri" w:hAnsi="Calibri"/>
          <w:b w:val="0"/>
          <w:bCs/>
          <w:sz w:val="21"/>
          <w:szCs w:val="21"/>
        </w:rPr>
        <w:t xml:space="preserve"> As solicitações deverão ser formalizadas pela administração pelo menos 5 (cinco) dias antes da data de entrega pretendida, cabendo à CONTRATADA a realização da entrega nos locais e horários estipulados na formalização da solicitação.</w:t>
      </w:r>
    </w:p>
    <w:p w14:paraId="6D6511E5">
      <w:pPr>
        <w:keepNext w:val="0"/>
        <w:keepLines w:val="0"/>
        <w:pageBreakBefore w:val="0"/>
        <w:widowControl/>
        <w:numPr>
          <w:ilvl w:val="0"/>
          <w:numId w:val="0"/>
        </w:numPr>
        <w:tabs>
          <w:tab w:val="left" w:pos="240"/>
        </w:tabs>
        <w:kinsoku/>
        <w:wordWrap/>
        <w:overflowPunct/>
        <w:topLinePunct w:val="0"/>
        <w:autoSpaceDE/>
        <w:autoSpaceDN/>
        <w:bidi w:val="0"/>
        <w:adjustRightInd/>
        <w:snapToGrid/>
        <w:ind w:leftChars="0"/>
        <w:jc w:val="both"/>
        <w:textAlignment w:val="auto"/>
        <w:rPr>
          <w:rFonts w:hint="default" w:ascii="Calibri" w:hAnsi="Calibri"/>
          <w:b w:val="0"/>
          <w:bCs/>
          <w:sz w:val="21"/>
          <w:szCs w:val="21"/>
        </w:rPr>
      </w:pPr>
    </w:p>
    <w:p w14:paraId="6E54CA2E">
      <w:pPr>
        <w:keepNext w:val="0"/>
        <w:keepLines w:val="0"/>
        <w:pageBreakBefore w:val="0"/>
        <w:widowControl/>
        <w:numPr>
          <w:ilvl w:val="0"/>
          <w:numId w:val="10"/>
        </w:numPr>
        <w:tabs>
          <w:tab w:val="left" w:pos="240"/>
        </w:tabs>
        <w:kinsoku/>
        <w:wordWrap/>
        <w:overflowPunct/>
        <w:topLinePunct w:val="0"/>
        <w:autoSpaceDE/>
        <w:autoSpaceDN/>
        <w:bidi w:val="0"/>
        <w:adjustRightInd/>
        <w:snapToGrid/>
        <w:ind w:left="0" w:leftChars="0" w:firstLine="0" w:firstLineChars="0"/>
        <w:jc w:val="both"/>
        <w:textAlignment w:val="auto"/>
        <w:rPr>
          <w:rFonts w:hint="default" w:ascii="Calibri" w:hAnsi="Calibri"/>
          <w:b/>
          <w:bCs w:val="0"/>
          <w:sz w:val="21"/>
          <w:szCs w:val="21"/>
        </w:rPr>
      </w:pPr>
      <w:r>
        <w:rPr>
          <w:rFonts w:hint="default" w:ascii="Calibri" w:hAnsi="Calibri"/>
          <w:b/>
          <w:bCs w:val="0"/>
          <w:sz w:val="21"/>
          <w:szCs w:val="21"/>
        </w:rPr>
        <w:t>Considerando o exposto acima, o prazo de entrega será de 5 (cinco) dias, contados a partir da solicitação das mercadorias.</w:t>
      </w:r>
    </w:p>
    <w:p w14:paraId="441CABEC">
      <w:pPr>
        <w:keepNext w:val="0"/>
        <w:keepLines w:val="0"/>
        <w:pageBreakBefore w:val="0"/>
        <w:widowControl/>
        <w:numPr>
          <w:ilvl w:val="0"/>
          <w:numId w:val="0"/>
        </w:numPr>
        <w:tabs>
          <w:tab w:val="left" w:pos="240"/>
        </w:tabs>
        <w:kinsoku/>
        <w:wordWrap/>
        <w:overflowPunct/>
        <w:topLinePunct w:val="0"/>
        <w:autoSpaceDE/>
        <w:autoSpaceDN/>
        <w:bidi w:val="0"/>
        <w:adjustRightInd/>
        <w:snapToGrid/>
        <w:ind w:leftChars="0"/>
        <w:jc w:val="both"/>
        <w:textAlignment w:val="auto"/>
        <w:rPr>
          <w:rFonts w:hint="default" w:ascii="Calibri" w:hAnsi="Calibri"/>
          <w:b w:val="0"/>
          <w:bCs/>
          <w:sz w:val="21"/>
          <w:szCs w:val="21"/>
        </w:rPr>
      </w:pPr>
    </w:p>
    <w:p w14:paraId="35D1F761">
      <w:pPr>
        <w:keepNext w:val="0"/>
        <w:keepLines w:val="0"/>
        <w:pageBreakBefore w:val="0"/>
        <w:widowControl/>
        <w:numPr>
          <w:ilvl w:val="0"/>
          <w:numId w:val="10"/>
        </w:numPr>
        <w:tabs>
          <w:tab w:val="left" w:pos="240"/>
        </w:tabs>
        <w:kinsoku/>
        <w:wordWrap/>
        <w:overflowPunct/>
        <w:topLinePunct w:val="0"/>
        <w:autoSpaceDE/>
        <w:autoSpaceDN/>
        <w:bidi w:val="0"/>
        <w:adjustRightInd/>
        <w:snapToGrid/>
        <w:ind w:left="0" w:leftChars="0" w:firstLine="0" w:firstLineChars="0"/>
        <w:jc w:val="both"/>
        <w:textAlignment w:val="auto"/>
        <w:rPr>
          <w:rFonts w:hint="default" w:ascii="Calibri" w:hAnsi="Calibri"/>
          <w:b w:val="0"/>
          <w:bCs/>
          <w:sz w:val="21"/>
          <w:szCs w:val="21"/>
        </w:rPr>
      </w:pPr>
      <w:r>
        <w:rPr>
          <w:rFonts w:hint="default" w:ascii="Calibri" w:hAnsi="Calibri"/>
          <w:b w:val="0"/>
          <w:bCs/>
          <w:sz w:val="21"/>
          <w:szCs w:val="21"/>
        </w:rPr>
        <w:t xml:space="preserve"> As solicitações deverão conter: endereço, datas (ou períodos), horários, itens e quantitativos de entrega.</w:t>
      </w:r>
    </w:p>
    <w:p w14:paraId="52C7C0F4">
      <w:pPr>
        <w:keepNext w:val="0"/>
        <w:keepLines w:val="0"/>
        <w:pageBreakBefore w:val="0"/>
        <w:widowControl/>
        <w:numPr>
          <w:ilvl w:val="0"/>
          <w:numId w:val="0"/>
        </w:numPr>
        <w:tabs>
          <w:tab w:val="left" w:pos="240"/>
        </w:tabs>
        <w:kinsoku/>
        <w:wordWrap/>
        <w:overflowPunct/>
        <w:topLinePunct w:val="0"/>
        <w:autoSpaceDE/>
        <w:autoSpaceDN/>
        <w:bidi w:val="0"/>
        <w:adjustRightInd/>
        <w:snapToGrid/>
        <w:ind w:leftChars="0"/>
        <w:jc w:val="both"/>
        <w:textAlignment w:val="auto"/>
        <w:rPr>
          <w:rFonts w:hint="default" w:ascii="Calibri" w:hAnsi="Calibri"/>
          <w:b w:val="0"/>
          <w:bCs/>
          <w:sz w:val="21"/>
          <w:szCs w:val="21"/>
        </w:rPr>
      </w:pPr>
    </w:p>
    <w:p w14:paraId="2EA2572F">
      <w:pPr>
        <w:keepNext w:val="0"/>
        <w:keepLines w:val="0"/>
        <w:pageBreakBefore w:val="0"/>
        <w:widowControl/>
        <w:numPr>
          <w:ilvl w:val="0"/>
          <w:numId w:val="10"/>
        </w:numPr>
        <w:tabs>
          <w:tab w:val="left" w:pos="240"/>
        </w:tabs>
        <w:kinsoku/>
        <w:wordWrap/>
        <w:overflowPunct/>
        <w:topLinePunct w:val="0"/>
        <w:autoSpaceDE/>
        <w:autoSpaceDN/>
        <w:bidi w:val="0"/>
        <w:adjustRightInd/>
        <w:snapToGrid/>
        <w:ind w:left="0" w:leftChars="0" w:firstLine="0" w:firstLineChars="0"/>
        <w:jc w:val="both"/>
        <w:textAlignment w:val="auto"/>
        <w:rPr>
          <w:rFonts w:hint="default" w:ascii="Calibri" w:hAnsi="Calibri"/>
          <w:b w:val="0"/>
          <w:bCs/>
          <w:sz w:val="21"/>
          <w:szCs w:val="21"/>
        </w:rPr>
      </w:pPr>
      <w:r>
        <w:rPr>
          <w:rFonts w:hint="default" w:ascii="Calibri" w:hAnsi="Calibri"/>
          <w:b w:val="0"/>
          <w:bCs/>
          <w:sz w:val="21"/>
          <w:szCs w:val="21"/>
        </w:rPr>
        <w:t>A CONTRATADA deverá seguir rigorosamente o cronograma e o quantitativo de entrega encaminhado pela CONTRATANTE nas solicitações de entrega.</w:t>
      </w:r>
    </w:p>
    <w:p w14:paraId="6E2E7B61">
      <w:pPr>
        <w:keepNext w:val="0"/>
        <w:keepLines w:val="0"/>
        <w:pageBreakBefore w:val="0"/>
        <w:widowControl/>
        <w:numPr>
          <w:ilvl w:val="0"/>
          <w:numId w:val="0"/>
        </w:numPr>
        <w:tabs>
          <w:tab w:val="left" w:pos="240"/>
        </w:tabs>
        <w:kinsoku/>
        <w:wordWrap/>
        <w:overflowPunct/>
        <w:topLinePunct w:val="0"/>
        <w:autoSpaceDE/>
        <w:autoSpaceDN/>
        <w:bidi w:val="0"/>
        <w:adjustRightInd/>
        <w:snapToGrid/>
        <w:ind w:leftChars="0"/>
        <w:jc w:val="both"/>
        <w:textAlignment w:val="auto"/>
        <w:rPr>
          <w:rFonts w:hint="default" w:ascii="Calibri" w:hAnsi="Calibri"/>
          <w:b w:val="0"/>
          <w:bCs/>
          <w:sz w:val="21"/>
          <w:szCs w:val="21"/>
        </w:rPr>
      </w:pPr>
    </w:p>
    <w:p w14:paraId="4908FE46">
      <w:pPr>
        <w:keepNext w:val="0"/>
        <w:keepLines w:val="0"/>
        <w:pageBreakBefore w:val="0"/>
        <w:widowControl/>
        <w:numPr>
          <w:ilvl w:val="0"/>
          <w:numId w:val="10"/>
        </w:numPr>
        <w:tabs>
          <w:tab w:val="left" w:pos="240"/>
        </w:tabs>
        <w:kinsoku/>
        <w:wordWrap/>
        <w:overflowPunct/>
        <w:topLinePunct w:val="0"/>
        <w:autoSpaceDE/>
        <w:autoSpaceDN/>
        <w:bidi w:val="0"/>
        <w:adjustRightInd/>
        <w:snapToGrid/>
        <w:ind w:left="0" w:leftChars="0" w:firstLine="0" w:firstLineChars="0"/>
        <w:jc w:val="both"/>
        <w:textAlignment w:val="auto"/>
        <w:rPr>
          <w:rFonts w:hint="default" w:ascii="Calibri" w:hAnsi="Calibri"/>
          <w:b w:val="0"/>
          <w:bCs/>
          <w:sz w:val="21"/>
          <w:szCs w:val="21"/>
        </w:rPr>
      </w:pPr>
      <w:r>
        <w:rPr>
          <w:rFonts w:hint="default" w:ascii="Calibri" w:hAnsi="Calibri"/>
          <w:b w:val="0"/>
          <w:bCs/>
          <w:sz w:val="21"/>
          <w:szCs w:val="21"/>
        </w:rPr>
        <w:t>As entregas deverão ocorrer nos locais, datas e horários predeterminados, independentemente da coincidência de mesmo horário de entregas entre as diferentes unidades operacionais da Secretaria Municipal de Assistência Social e dos demais órgãos integrantes do processo.</w:t>
      </w:r>
    </w:p>
    <w:p w14:paraId="740899DC">
      <w:pPr>
        <w:keepNext w:val="0"/>
        <w:keepLines w:val="0"/>
        <w:pageBreakBefore w:val="0"/>
        <w:widowControl/>
        <w:numPr>
          <w:ilvl w:val="0"/>
          <w:numId w:val="0"/>
        </w:numPr>
        <w:tabs>
          <w:tab w:val="left" w:pos="240"/>
        </w:tabs>
        <w:kinsoku/>
        <w:wordWrap/>
        <w:overflowPunct/>
        <w:topLinePunct w:val="0"/>
        <w:autoSpaceDE/>
        <w:autoSpaceDN/>
        <w:bidi w:val="0"/>
        <w:adjustRightInd/>
        <w:snapToGrid/>
        <w:ind w:leftChars="0"/>
        <w:jc w:val="both"/>
        <w:textAlignment w:val="auto"/>
        <w:rPr>
          <w:rFonts w:hint="default" w:ascii="Calibri" w:hAnsi="Calibri"/>
          <w:b w:val="0"/>
          <w:bCs/>
          <w:sz w:val="21"/>
          <w:szCs w:val="21"/>
        </w:rPr>
      </w:pPr>
    </w:p>
    <w:p w14:paraId="0C0D737D">
      <w:pPr>
        <w:keepNext w:val="0"/>
        <w:keepLines w:val="0"/>
        <w:pageBreakBefore w:val="0"/>
        <w:widowControl/>
        <w:numPr>
          <w:ilvl w:val="0"/>
          <w:numId w:val="10"/>
        </w:numPr>
        <w:tabs>
          <w:tab w:val="left" w:pos="240"/>
        </w:tabs>
        <w:kinsoku/>
        <w:wordWrap/>
        <w:overflowPunct/>
        <w:topLinePunct w:val="0"/>
        <w:autoSpaceDE/>
        <w:autoSpaceDN/>
        <w:bidi w:val="0"/>
        <w:adjustRightInd/>
        <w:snapToGrid/>
        <w:ind w:left="0" w:leftChars="0" w:firstLine="0" w:firstLineChars="0"/>
        <w:jc w:val="both"/>
        <w:textAlignment w:val="auto"/>
        <w:rPr>
          <w:rFonts w:hint="default" w:ascii="Calibri" w:hAnsi="Calibri"/>
          <w:b w:val="0"/>
          <w:bCs/>
          <w:sz w:val="21"/>
          <w:szCs w:val="21"/>
        </w:rPr>
      </w:pPr>
      <w:r>
        <w:rPr>
          <w:rFonts w:hint="default" w:ascii="Calibri" w:hAnsi="Calibri"/>
          <w:b w:val="0"/>
          <w:bCs/>
          <w:sz w:val="21"/>
          <w:szCs w:val="21"/>
        </w:rPr>
        <w:t>Ficará sob total responsabilidade da CONTRATADA as questões logísticas para entrega de toda a demanda feita pelos órgãos integrantes do processo, nos prazos, endereços e frequências solicitadas.</w:t>
      </w:r>
    </w:p>
    <w:p w14:paraId="029D7484">
      <w:pPr>
        <w:keepNext w:val="0"/>
        <w:keepLines w:val="0"/>
        <w:pageBreakBefore w:val="0"/>
        <w:widowControl/>
        <w:numPr>
          <w:ilvl w:val="0"/>
          <w:numId w:val="0"/>
        </w:numPr>
        <w:tabs>
          <w:tab w:val="left" w:pos="240"/>
        </w:tabs>
        <w:kinsoku/>
        <w:wordWrap/>
        <w:overflowPunct/>
        <w:topLinePunct w:val="0"/>
        <w:autoSpaceDE/>
        <w:autoSpaceDN/>
        <w:bidi w:val="0"/>
        <w:adjustRightInd/>
        <w:snapToGrid/>
        <w:ind w:leftChars="0"/>
        <w:jc w:val="both"/>
        <w:textAlignment w:val="auto"/>
        <w:rPr>
          <w:rFonts w:hint="default" w:ascii="Calibri" w:hAnsi="Calibri"/>
          <w:b w:val="0"/>
          <w:bCs/>
          <w:sz w:val="21"/>
          <w:szCs w:val="21"/>
        </w:rPr>
      </w:pPr>
    </w:p>
    <w:p w14:paraId="67B69103">
      <w:pPr>
        <w:keepNext w:val="0"/>
        <w:keepLines w:val="0"/>
        <w:pageBreakBefore w:val="0"/>
        <w:widowControl/>
        <w:numPr>
          <w:ilvl w:val="0"/>
          <w:numId w:val="10"/>
        </w:numPr>
        <w:tabs>
          <w:tab w:val="left" w:pos="240"/>
        </w:tabs>
        <w:kinsoku/>
        <w:wordWrap/>
        <w:overflowPunct/>
        <w:topLinePunct w:val="0"/>
        <w:autoSpaceDE/>
        <w:autoSpaceDN/>
        <w:bidi w:val="0"/>
        <w:adjustRightInd/>
        <w:snapToGrid/>
        <w:ind w:left="0" w:leftChars="0" w:firstLine="0" w:firstLineChars="0"/>
        <w:jc w:val="both"/>
        <w:textAlignment w:val="auto"/>
        <w:rPr>
          <w:rFonts w:hint="default" w:ascii="Calibri" w:hAnsi="Calibri"/>
          <w:b w:val="0"/>
          <w:bCs/>
          <w:sz w:val="21"/>
          <w:szCs w:val="21"/>
        </w:rPr>
      </w:pPr>
      <w:r>
        <w:rPr>
          <w:rFonts w:hint="default" w:ascii="Calibri" w:hAnsi="Calibri"/>
          <w:b w:val="0"/>
          <w:bCs/>
          <w:sz w:val="21"/>
          <w:szCs w:val="21"/>
        </w:rPr>
        <w:t>Estabelece-se um prazo de tolerância de mínimo de 30 (trinta) minutos para a realização das entregas, após o horário previamente acordado, desde que em horário de expediente da Administração.</w:t>
      </w:r>
    </w:p>
    <w:p w14:paraId="58A694CB">
      <w:pPr>
        <w:keepNext w:val="0"/>
        <w:keepLines w:val="0"/>
        <w:pageBreakBefore w:val="0"/>
        <w:widowControl/>
        <w:numPr>
          <w:ilvl w:val="0"/>
          <w:numId w:val="0"/>
        </w:numPr>
        <w:tabs>
          <w:tab w:val="left" w:pos="240"/>
        </w:tabs>
        <w:kinsoku/>
        <w:wordWrap/>
        <w:overflowPunct/>
        <w:topLinePunct w:val="0"/>
        <w:autoSpaceDE/>
        <w:autoSpaceDN/>
        <w:bidi w:val="0"/>
        <w:adjustRightInd/>
        <w:snapToGrid/>
        <w:ind w:leftChars="0"/>
        <w:jc w:val="both"/>
        <w:textAlignment w:val="auto"/>
        <w:rPr>
          <w:rFonts w:hint="default" w:ascii="Calibri" w:hAnsi="Calibri"/>
          <w:b w:val="0"/>
          <w:bCs/>
          <w:sz w:val="21"/>
          <w:szCs w:val="21"/>
        </w:rPr>
      </w:pPr>
    </w:p>
    <w:p w14:paraId="600C9AFF">
      <w:pPr>
        <w:keepNext w:val="0"/>
        <w:keepLines w:val="0"/>
        <w:pageBreakBefore w:val="0"/>
        <w:widowControl/>
        <w:numPr>
          <w:ilvl w:val="0"/>
          <w:numId w:val="10"/>
        </w:numPr>
        <w:tabs>
          <w:tab w:val="left" w:pos="240"/>
        </w:tabs>
        <w:kinsoku/>
        <w:wordWrap/>
        <w:overflowPunct/>
        <w:topLinePunct w:val="0"/>
        <w:autoSpaceDE/>
        <w:autoSpaceDN/>
        <w:bidi w:val="0"/>
        <w:adjustRightInd/>
        <w:snapToGrid/>
        <w:ind w:left="0" w:leftChars="0" w:firstLine="0" w:firstLineChars="0"/>
        <w:jc w:val="both"/>
        <w:textAlignment w:val="auto"/>
        <w:rPr>
          <w:rFonts w:hint="default" w:ascii="Calibri" w:hAnsi="Calibri"/>
          <w:b w:val="0"/>
          <w:bCs/>
          <w:sz w:val="21"/>
          <w:szCs w:val="21"/>
        </w:rPr>
      </w:pPr>
      <w:r>
        <w:rPr>
          <w:rFonts w:hint="default" w:ascii="Calibri" w:hAnsi="Calibri"/>
          <w:b w:val="0"/>
          <w:bCs/>
          <w:sz w:val="21"/>
          <w:szCs w:val="21"/>
        </w:rPr>
        <w:t>A CONTRATANTE poderá estender, a seu critério, o prazo de tolerância das entregas, devendo comunicar a CONTRATADA sobre os novos prazos concedidos.</w:t>
      </w:r>
    </w:p>
    <w:p w14:paraId="2DA5AF1D">
      <w:pPr>
        <w:keepNext w:val="0"/>
        <w:keepLines w:val="0"/>
        <w:pageBreakBefore w:val="0"/>
        <w:widowControl/>
        <w:numPr>
          <w:ilvl w:val="0"/>
          <w:numId w:val="0"/>
        </w:numPr>
        <w:tabs>
          <w:tab w:val="left" w:pos="240"/>
        </w:tabs>
        <w:kinsoku/>
        <w:wordWrap/>
        <w:overflowPunct/>
        <w:topLinePunct w:val="0"/>
        <w:autoSpaceDE/>
        <w:autoSpaceDN/>
        <w:bidi w:val="0"/>
        <w:adjustRightInd/>
        <w:snapToGrid/>
        <w:ind w:leftChars="0"/>
        <w:jc w:val="both"/>
        <w:textAlignment w:val="auto"/>
        <w:rPr>
          <w:rFonts w:hint="default" w:ascii="Calibri" w:hAnsi="Calibri"/>
          <w:b w:val="0"/>
          <w:bCs/>
          <w:sz w:val="21"/>
          <w:szCs w:val="21"/>
        </w:rPr>
      </w:pPr>
    </w:p>
    <w:p w14:paraId="7A81731C">
      <w:pPr>
        <w:keepNext w:val="0"/>
        <w:keepLines w:val="0"/>
        <w:pageBreakBefore w:val="0"/>
        <w:widowControl/>
        <w:numPr>
          <w:ilvl w:val="0"/>
          <w:numId w:val="10"/>
        </w:numPr>
        <w:tabs>
          <w:tab w:val="left" w:pos="240"/>
        </w:tabs>
        <w:kinsoku/>
        <w:wordWrap/>
        <w:overflowPunct/>
        <w:topLinePunct w:val="0"/>
        <w:autoSpaceDE/>
        <w:autoSpaceDN/>
        <w:bidi w:val="0"/>
        <w:adjustRightInd/>
        <w:snapToGrid/>
        <w:ind w:left="0" w:leftChars="0" w:firstLine="0" w:firstLineChars="0"/>
        <w:jc w:val="both"/>
        <w:textAlignment w:val="auto"/>
        <w:rPr>
          <w:rFonts w:hint="default" w:ascii="Calibri" w:hAnsi="Calibri"/>
          <w:b w:val="0"/>
          <w:bCs/>
          <w:sz w:val="21"/>
          <w:szCs w:val="21"/>
        </w:rPr>
      </w:pPr>
      <w:r>
        <w:rPr>
          <w:rFonts w:hint="default" w:ascii="Calibri" w:hAnsi="Calibri"/>
          <w:b w:val="0"/>
          <w:bCs/>
          <w:sz w:val="21"/>
          <w:szCs w:val="21"/>
        </w:rPr>
        <w:t xml:space="preserve"> Entregas realizadas após o prazo de tolerância concedido pela CONTRATANTE serão consideradas em atraso, sujeitando a empresa às notificações e às sanções pertinentes.</w:t>
      </w:r>
    </w:p>
    <w:p w14:paraId="15C0981F">
      <w:pPr>
        <w:keepNext w:val="0"/>
        <w:keepLines w:val="0"/>
        <w:pageBreakBefore w:val="0"/>
        <w:widowControl/>
        <w:numPr>
          <w:ilvl w:val="0"/>
          <w:numId w:val="0"/>
        </w:numPr>
        <w:tabs>
          <w:tab w:val="left" w:pos="240"/>
        </w:tabs>
        <w:kinsoku/>
        <w:wordWrap/>
        <w:overflowPunct/>
        <w:topLinePunct w:val="0"/>
        <w:autoSpaceDE/>
        <w:autoSpaceDN/>
        <w:bidi w:val="0"/>
        <w:adjustRightInd/>
        <w:snapToGrid/>
        <w:ind w:leftChars="0"/>
        <w:jc w:val="both"/>
        <w:textAlignment w:val="auto"/>
        <w:rPr>
          <w:rFonts w:hint="default" w:ascii="Calibri" w:hAnsi="Calibri"/>
          <w:b w:val="0"/>
          <w:bCs/>
          <w:sz w:val="21"/>
          <w:szCs w:val="21"/>
        </w:rPr>
      </w:pPr>
    </w:p>
    <w:p w14:paraId="0AED4783">
      <w:pPr>
        <w:keepNext w:val="0"/>
        <w:keepLines w:val="0"/>
        <w:pageBreakBefore w:val="0"/>
        <w:widowControl/>
        <w:numPr>
          <w:ilvl w:val="0"/>
          <w:numId w:val="10"/>
        </w:numPr>
        <w:tabs>
          <w:tab w:val="left" w:pos="240"/>
        </w:tabs>
        <w:kinsoku/>
        <w:wordWrap/>
        <w:overflowPunct/>
        <w:topLinePunct w:val="0"/>
        <w:autoSpaceDE/>
        <w:autoSpaceDN/>
        <w:bidi w:val="0"/>
        <w:adjustRightInd/>
        <w:snapToGrid/>
        <w:ind w:left="0" w:leftChars="0" w:firstLine="0" w:firstLineChars="0"/>
        <w:jc w:val="both"/>
        <w:textAlignment w:val="auto"/>
        <w:rPr>
          <w:rFonts w:hint="default" w:ascii="Calibri" w:hAnsi="Calibri"/>
          <w:b w:val="0"/>
          <w:bCs/>
          <w:sz w:val="21"/>
          <w:szCs w:val="21"/>
        </w:rPr>
      </w:pPr>
      <w:r>
        <w:rPr>
          <w:rFonts w:hint="default" w:ascii="Calibri" w:hAnsi="Calibri"/>
          <w:b w:val="0"/>
          <w:bCs/>
          <w:sz w:val="21"/>
          <w:szCs w:val="21"/>
        </w:rPr>
        <w:t>Ao participar do processo licitatório, a CONTRATADA declarar-se-á ciente dos prazos acima estipulados, não cabendo a justificativa de desconhecimento ou inobservância das disposições feitas.</w:t>
      </w:r>
    </w:p>
    <w:p w14:paraId="5D13CAA8">
      <w:pPr>
        <w:numPr>
          <w:ilvl w:val="0"/>
          <w:numId w:val="0"/>
        </w:numPr>
        <w:tabs>
          <w:tab w:val="left" w:pos="240"/>
        </w:tabs>
        <w:jc w:val="both"/>
        <w:rPr>
          <w:rFonts w:hint="default" w:ascii="Calibri" w:hAnsi="Calibri"/>
          <w:b w:val="0"/>
          <w:bCs/>
          <w:sz w:val="21"/>
          <w:szCs w:val="21"/>
        </w:rPr>
      </w:pPr>
    </w:p>
    <w:p w14:paraId="1615F91A">
      <w:pPr>
        <w:shd w:val="clear"/>
        <w:jc w:val="both"/>
        <w:rPr>
          <w:rFonts w:hint="default" w:ascii="Calibri" w:hAnsi="Calibri" w:cs="Calibri"/>
          <w:b/>
          <w:sz w:val="22"/>
          <w:szCs w:val="22"/>
          <w:highlight w:val="none"/>
        </w:rPr>
      </w:pPr>
    </w:p>
    <w:p w14:paraId="00FF5D41">
      <w:pPr>
        <w:shd w:val="clear"/>
        <w:jc w:val="both"/>
        <w:rPr>
          <w:rFonts w:hint="default" w:ascii="Calibri" w:hAnsi="Calibri" w:cs="Calibri"/>
          <w:b/>
          <w:sz w:val="22"/>
          <w:szCs w:val="22"/>
          <w:highlight w:val="none"/>
          <w:lang w:val="pt-BR"/>
        </w:rPr>
      </w:pPr>
      <w:r>
        <w:rPr>
          <w:rFonts w:hint="default" w:ascii="Calibri" w:hAnsi="Calibri" w:cs="Calibri"/>
          <w:b/>
          <w:sz w:val="22"/>
          <w:szCs w:val="22"/>
          <w:highlight w:val="none"/>
        </w:rPr>
        <w:t>LOCA</w:t>
      </w:r>
      <w:r>
        <w:rPr>
          <w:rFonts w:hint="default" w:ascii="Calibri" w:hAnsi="Calibri" w:cs="Calibri"/>
          <w:b/>
          <w:sz w:val="22"/>
          <w:szCs w:val="22"/>
          <w:highlight w:val="none"/>
          <w:lang w:val="pt-BR"/>
        </w:rPr>
        <w:t>L DE ENTREGA E RECEBIMENTO</w:t>
      </w:r>
      <w:r>
        <w:rPr>
          <w:rFonts w:hint="default" w:ascii="Calibri" w:hAnsi="Calibri" w:cs="Calibri"/>
          <w:b/>
          <w:sz w:val="22"/>
          <w:szCs w:val="22"/>
          <w:highlight w:val="none"/>
        </w:rPr>
        <w:t>:</w:t>
      </w:r>
      <w:r>
        <w:rPr>
          <w:rFonts w:hint="default" w:ascii="Calibri" w:hAnsi="Calibri" w:cs="Calibri"/>
          <w:b/>
          <w:sz w:val="22"/>
          <w:szCs w:val="22"/>
          <w:highlight w:val="none"/>
          <w:lang w:val="pt-BR"/>
        </w:rPr>
        <w:t xml:space="preserve"> </w:t>
      </w:r>
    </w:p>
    <w:p w14:paraId="5D6F3186">
      <w:pPr>
        <w:shd w:val="clear"/>
        <w:jc w:val="both"/>
        <w:rPr>
          <w:rFonts w:hint="default" w:ascii="Calibri" w:hAnsi="Calibri" w:cs="Calibri"/>
          <w:b/>
          <w:sz w:val="22"/>
          <w:szCs w:val="22"/>
          <w:highlight w:val="none"/>
          <w:lang w:val="pt-BR"/>
        </w:rPr>
      </w:pPr>
    </w:p>
    <w:p w14:paraId="0C4300A9">
      <w:pPr>
        <w:numPr>
          <w:ilvl w:val="0"/>
          <w:numId w:val="0"/>
        </w:numPr>
        <w:tabs>
          <w:tab w:val="left" w:pos="240"/>
        </w:tabs>
        <w:jc w:val="both"/>
        <w:rPr>
          <w:rFonts w:hint="default" w:ascii="Calibri" w:hAnsi="Calibri"/>
          <w:b w:val="0"/>
          <w:bCs/>
          <w:sz w:val="21"/>
          <w:szCs w:val="21"/>
          <w:highlight w:val="none"/>
        </w:rPr>
      </w:pPr>
      <w:r>
        <w:rPr>
          <w:rFonts w:hint="default" w:ascii="Calibri" w:hAnsi="Calibri"/>
          <w:b w:val="0"/>
          <w:bCs/>
          <w:sz w:val="21"/>
          <w:szCs w:val="21"/>
          <w:highlight w:val="none"/>
        </w:rPr>
        <w:t>A contratada deverá entregar os itens em conformidade com as normativas técnicas estabelecidas no presente termo de referência.</w:t>
      </w:r>
    </w:p>
    <w:p w14:paraId="7DBA9716">
      <w:pPr>
        <w:numPr>
          <w:ilvl w:val="0"/>
          <w:numId w:val="0"/>
        </w:numPr>
        <w:tabs>
          <w:tab w:val="left" w:pos="240"/>
        </w:tabs>
        <w:jc w:val="both"/>
        <w:rPr>
          <w:rFonts w:hint="default" w:ascii="Calibri" w:hAnsi="Calibri"/>
          <w:b w:val="0"/>
          <w:bCs/>
          <w:sz w:val="21"/>
          <w:szCs w:val="21"/>
          <w:highlight w:val="none"/>
        </w:rPr>
      </w:pPr>
    </w:p>
    <w:p w14:paraId="5FDB3F2C">
      <w:pPr>
        <w:numPr>
          <w:ilvl w:val="0"/>
          <w:numId w:val="0"/>
        </w:numPr>
        <w:tabs>
          <w:tab w:val="left" w:pos="240"/>
        </w:tabs>
        <w:jc w:val="both"/>
        <w:rPr>
          <w:rFonts w:hint="default" w:ascii="Calibri" w:hAnsi="Calibri"/>
          <w:b w:val="0"/>
          <w:bCs/>
          <w:sz w:val="21"/>
          <w:szCs w:val="21"/>
          <w:highlight w:val="none"/>
        </w:rPr>
      </w:pPr>
      <w:r>
        <w:rPr>
          <w:rFonts w:hint="default" w:ascii="Calibri" w:hAnsi="Calibri"/>
          <w:b w:val="0"/>
          <w:bCs/>
          <w:sz w:val="21"/>
          <w:szCs w:val="21"/>
          <w:highlight w:val="none"/>
        </w:rPr>
        <w:t>Quaisquer irregularidades serão apontadas pelo gestor de contratos designado, acarretando recusa do recebimento e a solicitação de troca, visando torná-lo condizente com as disposições definidas no presente documento.</w:t>
      </w:r>
    </w:p>
    <w:p w14:paraId="46F213D7">
      <w:pPr>
        <w:numPr>
          <w:ilvl w:val="0"/>
          <w:numId w:val="0"/>
        </w:numPr>
        <w:tabs>
          <w:tab w:val="left" w:pos="240"/>
        </w:tabs>
        <w:jc w:val="both"/>
        <w:rPr>
          <w:rFonts w:hint="default" w:ascii="Calibri" w:hAnsi="Calibri"/>
          <w:b w:val="0"/>
          <w:bCs/>
          <w:sz w:val="21"/>
          <w:szCs w:val="21"/>
          <w:highlight w:val="none"/>
        </w:rPr>
      </w:pPr>
    </w:p>
    <w:p w14:paraId="200DFF5A">
      <w:pPr>
        <w:numPr>
          <w:ilvl w:val="0"/>
          <w:numId w:val="0"/>
        </w:numPr>
        <w:tabs>
          <w:tab w:val="left" w:pos="240"/>
        </w:tabs>
        <w:jc w:val="both"/>
        <w:rPr>
          <w:rFonts w:hint="default" w:ascii="Calibri" w:hAnsi="Calibri"/>
          <w:b w:val="0"/>
          <w:bCs/>
          <w:sz w:val="21"/>
          <w:szCs w:val="21"/>
        </w:rPr>
      </w:pPr>
      <w:r>
        <w:rPr>
          <w:rFonts w:hint="default" w:ascii="Calibri" w:hAnsi="Calibri"/>
          <w:b w:val="0"/>
          <w:bCs/>
          <w:sz w:val="21"/>
          <w:szCs w:val="21"/>
        </w:rPr>
        <w:t>Abaixo estão listados os potenciais endereços de entrega, referentes aos Projetos Sociais da Secretaria Municipal de Assistência e Desenvolvimento Social:</w:t>
      </w:r>
    </w:p>
    <w:p w14:paraId="4250CA20">
      <w:pPr>
        <w:numPr>
          <w:ilvl w:val="0"/>
          <w:numId w:val="0"/>
        </w:numPr>
        <w:tabs>
          <w:tab w:val="left" w:pos="240"/>
        </w:tabs>
        <w:jc w:val="both"/>
        <w:rPr>
          <w:rFonts w:hint="default" w:ascii="Calibri" w:hAnsi="Calibri"/>
          <w:b w:val="0"/>
          <w:bCs/>
          <w:sz w:val="21"/>
          <w:szCs w:val="21"/>
        </w:rPr>
      </w:pPr>
    </w:p>
    <w:p w14:paraId="3075B846">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SADS:</w:t>
      </w:r>
      <w:r>
        <w:rPr>
          <w:rFonts w:hint="default" w:ascii="Calibri" w:hAnsi="Calibri"/>
          <w:b w:val="0"/>
          <w:bCs/>
          <w:sz w:val="21"/>
          <w:szCs w:val="21"/>
        </w:rPr>
        <w:t xml:space="preserve"> Rua Coronel João Franco Mourão, 308 – Centro</w:t>
      </w:r>
    </w:p>
    <w:p w14:paraId="37775B50">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CRAS ELOISA:</w:t>
      </w:r>
      <w:r>
        <w:rPr>
          <w:rFonts w:hint="default" w:ascii="Calibri" w:hAnsi="Calibri"/>
          <w:b w:val="0"/>
          <w:bCs/>
          <w:sz w:val="21"/>
          <w:szCs w:val="21"/>
        </w:rPr>
        <w:t xml:space="preserve"> Rua João Elias de Souza, 111 – Jd. Eloisa</w:t>
      </w:r>
    </w:p>
    <w:p w14:paraId="14A0348A">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CRC ELOISA</w:t>
      </w:r>
      <w:r>
        <w:rPr>
          <w:rFonts w:hint="default" w:ascii="Calibri" w:hAnsi="Calibri"/>
          <w:b w:val="0"/>
          <w:bCs/>
          <w:sz w:val="21"/>
          <w:szCs w:val="21"/>
        </w:rPr>
        <w:t>: Rua Liberato Monezzi, 441 – Jardim Eloisa</w:t>
      </w:r>
    </w:p>
    <w:p w14:paraId="68CC579F">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CRAS SÃO MANOEL</w:t>
      </w:r>
      <w:r>
        <w:rPr>
          <w:rFonts w:hint="default" w:ascii="Calibri" w:hAnsi="Calibri"/>
          <w:b w:val="0"/>
          <w:bCs/>
          <w:sz w:val="21"/>
          <w:szCs w:val="21"/>
        </w:rPr>
        <w:t>: Rua Augusto Salciotto, 205 – Jd. São Manoel</w:t>
      </w:r>
    </w:p>
    <w:p w14:paraId="47A0113F">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CRAS SAULO E SCFV SAULO</w:t>
      </w:r>
      <w:r>
        <w:rPr>
          <w:rFonts w:hint="default" w:ascii="Calibri" w:hAnsi="Calibri"/>
          <w:b w:val="0"/>
          <w:bCs/>
          <w:sz w:val="21"/>
          <w:szCs w:val="21"/>
        </w:rPr>
        <w:t>: Rua Jorge Miguel Mansur, 76 – Jd. São Jorge</w:t>
      </w:r>
    </w:p>
    <w:p w14:paraId="29298581">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CRA:</w:t>
      </w:r>
      <w:r>
        <w:rPr>
          <w:rFonts w:hint="default" w:ascii="Calibri" w:hAnsi="Calibri"/>
          <w:b w:val="0"/>
          <w:bCs/>
          <w:sz w:val="21"/>
          <w:szCs w:val="21"/>
        </w:rPr>
        <w:t xml:space="preserve"> Avenida Visconde de Nova Granada, 1073 – Jd. Itamaraty</w:t>
      </w:r>
    </w:p>
    <w:p w14:paraId="51370EFD">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CCI I:</w:t>
      </w:r>
      <w:r>
        <w:rPr>
          <w:rFonts w:hint="default" w:ascii="Calibri" w:hAnsi="Calibri"/>
          <w:b w:val="0"/>
          <w:bCs/>
          <w:sz w:val="21"/>
          <w:szCs w:val="21"/>
        </w:rPr>
        <w:t xml:space="preserve"> Rua Coronel Antônio Abade, 789 – Jd. Casarão</w:t>
      </w:r>
    </w:p>
    <w:p w14:paraId="576F119F">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CCI II:</w:t>
      </w:r>
      <w:r>
        <w:rPr>
          <w:rFonts w:hint="default" w:ascii="Calibri" w:hAnsi="Calibri"/>
          <w:b w:val="0"/>
          <w:bCs/>
          <w:sz w:val="21"/>
          <w:szCs w:val="21"/>
        </w:rPr>
        <w:t xml:space="preserve"> Rua Ernesto Gatto, 55 – Jd. Amalia</w:t>
      </w:r>
    </w:p>
    <w:p w14:paraId="2A845D0F">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CRPD:</w:t>
      </w:r>
      <w:r>
        <w:rPr>
          <w:rFonts w:hint="default" w:ascii="Calibri" w:hAnsi="Calibri"/>
          <w:b w:val="0"/>
          <w:bCs/>
          <w:sz w:val="21"/>
          <w:szCs w:val="21"/>
        </w:rPr>
        <w:t xml:space="preserve"> Rua Newton Prado, 495 – Centro</w:t>
      </w:r>
    </w:p>
    <w:p w14:paraId="67BB7CDF">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CGTR:</w:t>
      </w:r>
      <w:r>
        <w:rPr>
          <w:rFonts w:hint="default" w:ascii="Calibri" w:hAnsi="Calibri"/>
          <w:b w:val="0"/>
          <w:bCs/>
          <w:sz w:val="21"/>
          <w:szCs w:val="21"/>
        </w:rPr>
        <w:t xml:space="preserve"> Rua Vitorio Tomazotti, 150 – Bela Vista</w:t>
      </w:r>
    </w:p>
    <w:p w14:paraId="22589A8E">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SCFV BONSUCESSO:</w:t>
      </w:r>
      <w:r>
        <w:rPr>
          <w:rFonts w:hint="default" w:ascii="Calibri" w:hAnsi="Calibri"/>
          <w:b w:val="0"/>
          <w:bCs/>
          <w:sz w:val="21"/>
          <w:szCs w:val="21"/>
        </w:rPr>
        <w:t xml:space="preserve"> Avenida Visconde de Nova Granada, 1876 – Jd. Bonsucesso</w:t>
      </w:r>
    </w:p>
    <w:p w14:paraId="32880D5D">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CRAS E SCFV PALMEIRAS:</w:t>
      </w:r>
      <w:r>
        <w:rPr>
          <w:rFonts w:hint="default" w:ascii="Calibri" w:hAnsi="Calibri"/>
          <w:b w:val="0"/>
          <w:bCs/>
          <w:sz w:val="21"/>
          <w:szCs w:val="21"/>
        </w:rPr>
        <w:t xml:space="preserve"> Rua Roberto Schwenger, s/n. – Jd. Palmeiras</w:t>
      </w:r>
    </w:p>
    <w:p w14:paraId="04AA0B61">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CRAS EMPYREO:</w:t>
      </w:r>
      <w:r>
        <w:rPr>
          <w:rFonts w:hint="default" w:ascii="Calibri" w:hAnsi="Calibri"/>
          <w:b w:val="0"/>
          <w:bCs/>
          <w:sz w:val="21"/>
          <w:szCs w:val="21"/>
        </w:rPr>
        <w:t xml:space="preserve"> Rua Cícera Sueli de Andrade, 120 – Jd. Empyreo</w:t>
      </w:r>
    </w:p>
    <w:p w14:paraId="010331BE">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SCFV EMPYREO</w:t>
      </w:r>
      <w:r>
        <w:rPr>
          <w:rFonts w:hint="default" w:ascii="Calibri" w:hAnsi="Calibri"/>
          <w:b w:val="0"/>
          <w:bCs/>
          <w:sz w:val="21"/>
          <w:szCs w:val="21"/>
        </w:rPr>
        <w:t>: Rua Cícera Sueli de Andrade, 130 – Jd. Empyreo</w:t>
      </w:r>
    </w:p>
    <w:p w14:paraId="4F8B7478">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CREAS:</w:t>
      </w:r>
      <w:r>
        <w:rPr>
          <w:rFonts w:hint="default" w:ascii="Calibri" w:hAnsi="Calibri"/>
          <w:b w:val="0"/>
          <w:bCs/>
          <w:sz w:val="21"/>
          <w:szCs w:val="21"/>
        </w:rPr>
        <w:t xml:space="preserve"> Rua Calógero Chinnicci, 510 – Jd. Juana</w:t>
      </w:r>
    </w:p>
    <w:p w14:paraId="1611A40E">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 xml:space="preserve">CRJ: </w:t>
      </w:r>
      <w:r>
        <w:rPr>
          <w:rFonts w:hint="default" w:ascii="Calibri" w:hAnsi="Calibri"/>
          <w:b w:val="0"/>
          <w:bCs/>
          <w:sz w:val="21"/>
          <w:szCs w:val="21"/>
        </w:rPr>
        <w:t>Rua Albino da Cruz, 205 – Jd. São João</w:t>
      </w:r>
    </w:p>
    <w:p w14:paraId="3AD27FEB">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CENTRO POP:</w:t>
      </w:r>
      <w:r>
        <w:rPr>
          <w:rFonts w:hint="default" w:ascii="Calibri" w:hAnsi="Calibri"/>
          <w:b w:val="0"/>
          <w:bCs/>
          <w:sz w:val="21"/>
          <w:szCs w:val="21"/>
        </w:rPr>
        <w:t xml:space="preserve"> Rua tome de Souza, 490 – Santa Rita</w:t>
      </w:r>
    </w:p>
    <w:p w14:paraId="1905C7CC">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CASA DIA DO IDOSO:</w:t>
      </w:r>
      <w:r>
        <w:rPr>
          <w:rFonts w:hint="default" w:ascii="Calibri" w:hAnsi="Calibri"/>
          <w:b w:val="0"/>
          <w:bCs/>
          <w:sz w:val="21"/>
          <w:szCs w:val="21"/>
        </w:rPr>
        <w:t xml:space="preserve"> Rua Jorge Miguel Mansur, 57 – Jd. São Jorge</w:t>
      </w:r>
    </w:p>
    <w:p w14:paraId="3245587E">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CASA DIA DO IDOSO 2:</w:t>
      </w:r>
      <w:r>
        <w:rPr>
          <w:rFonts w:hint="default" w:ascii="Calibri" w:hAnsi="Calibri"/>
          <w:b w:val="0"/>
          <w:bCs/>
          <w:sz w:val="21"/>
          <w:szCs w:val="21"/>
        </w:rPr>
        <w:t xml:space="preserve"> Rua santa Cecilia, 381 – Royal Ville</w:t>
      </w:r>
    </w:p>
    <w:p w14:paraId="41CD411B">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 xml:space="preserve">CRM: </w:t>
      </w:r>
      <w:r>
        <w:rPr>
          <w:rFonts w:hint="default" w:ascii="Calibri" w:hAnsi="Calibri"/>
          <w:b w:val="0"/>
          <w:bCs/>
          <w:sz w:val="21"/>
          <w:szCs w:val="21"/>
        </w:rPr>
        <w:t>Rua Bernardino de Campos, 378 – Centro</w:t>
      </w:r>
    </w:p>
    <w:p w14:paraId="0BAD4623">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 xml:space="preserve">CRPA: </w:t>
      </w:r>
      <w:r>
        <w:rPr>
          <w:rFonts w:hint="default" w:ascii="Calibri" w:hAnsi="Calibri"/>
          <w:b w:val="0"/>
          <w:bCs/>
          <w:sz w:val="21"/>
          <w:szCs w:val="21"/>
        </w:rPr>
        <w:t>Rua José Manoel de Arruda, 340 - Bela Vista</w:t>
      </w:r>
    </w:p>
    <w:p w14:paraId="4CF6CC97">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CRAS CENTRAL:</w:t>
      </w:r>
      <w:r>
        <w:rPr>
          <w:rFonts w:hint="default" w:ascii="Calibri" w:hAnsi="Calibri"/>
          <w:b w:val="0"/>
          <w:bCs/>
          <w:sz w:val="21"/>
          <w:szCs w:val="21"/>
        </w:rPr>
        <w:t xml:space="preserve"> Rua Coronel João Franco Mourão, 264 – Centro</w:t>
      </w:r>
    </w:p>
    <w:p w14:paraId="0884D168">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CAS NOVA LEME:</w:t>
      </w:r>
      <w:r>
        <w:rPr>
          <w:rFonts w:hint="default" w:ascii="Calibri" w:hAnsi="Calibri"/>
          <w:b w:val="0"/>
          <w:bCs/>
          <w:sz w:val="21"/>
          <w:szCs w:val="21"/>
        </w:rPr>
        <w:t xml:space="preserve"> Rua dos Crisântemos, 400 – Nova Leme</w:t>
      </w:r>
    </w:p>
    <w:p w14:paraId="2FFB2BF3">
      <w:pPr>
        <w:numPr>
          <w:ilvl w:val="0"/>
          <w:numId w:val="0"/>
        </w:numPr>
        <w:tabs>
          <w:tab w:val="left" w:pos="240"/>
        </w:tabs>
        <w:spacing w:line="360" w:lineRule="auto"/>
        <w:jc w:val="both"/>
        <w:rPr>
          <w:rFonts w:hint="default" w:ascii="Calibri" w:hAnsi="Calibri"/>
          <w:b w:val="0"/>
          <w:bCs/>
          <w:sz w:val="21"/>
          <w:szCs w:val="21"/>
        </w:rPr>
      </w:pPr>
      <w:r>
        <w:rPr>
          <w:rFonts w:hint="default" w:ascii="Calibri" w:hAnsi="Calibri"/>
          <w:b/>
          <w:bCs w:val="0"/>
          <w:sz w:val="21"/>
          <w:szCs w:val="21"/>
        </w:rPr>
        <w:t xml:space="preserve">CRAS PRIMAVERA: </w:t>
      </w:r>
      <w:r>
        <w:rPr>
          <w:rFonts w:hint="default" w:ascii="Calibri" w:hAnsi="Calibri"/>
          <w:b w:val="0"/>
          <w:bCs/>
          <w:sz w:val="21"/>
          <w:szCs w:val="21"/>
        </w:rPr>
        <w:t>Rua João Poletti, 25 – Jardim Primavera</w:t>
      </w:r>
    </w:p>
    <w:p w14:paraId="4935F5E0">
      <w:pPr>
        <w:numPr>
          <w:ilvl w:val="0"/>
          <w:numId w:val="0"/>
        </w:numPr>
        <w:tabs>
          <w:tab w:val="left" w:pos="240"/>
        </w:tabs>
        <w:jc w:val="both"/>
        <w:rPr>
          <w:rFonts w:hint="default" w:ascii="Calibri" w:hAnsi="Calibri"/>
          <w:b w:val="0"/>
          <w:bCs/>
          <w:sz w:val="21"/>
          <w:szCs w:val="21"/>
        </w:rPr>
      </w:pPr>
    </w:p>
    <w:p w14:paraId="643AFF39">
      <w:pPr>
        <w:numPr>
          <w:ilvl w:val="0"/>
          <w:numId w:val="0"/>
        </w:numPr>
        <w:tabs>
          <w:tab w:val="left" w:pos="240"/>
        </w:tabs>
        <w:jc w:val="both"/>
        <w:rPr>
          <w:rFonts w:hint="default" w:ascii="Calibri" w:hAnsi="Calibri"/>
          <w:b w:val="0"/>
          <w:bCs/>
          <w:sz w:val="21"/>
          <w:szCs w:val="21"/>
        </w:rPr>
      </w:pPr>
      <w:r>
        <w:rPr>
          <w:rFonts w:hint="default" w:ascii="Calibri" w:hAnsi="Calibri"/>
          <w:b w:val="0"/>
          <w:bCs/>
          <w:sz w:val="21"/>
          <w:szCs w:val="21"/>
        </w:rPr>
        <w:t>Os endereços informados servirão apenas de referencial, visto que as entregas poderão ser solicitadas para quaisquer localidades que estejam dentro dos limites do município.</w:t>
      </w:r>
    </w:p>
    <w:p w14:paraId="0B56046C">
      <w:pPr>
        <w:numPr>
          <w:ilvl w:val="0"/>
          <w:numId w:val="0"/>
        </w:numPr>
        <w:tabs>
          <w:tab w:val="left" w:pos="240"/>
        </w:tabs>
        <w:jc w:val="both"/>
        <w:rPr>
          <w:rFonts w:hint="default" w:ascii="Calibri" w:hAnsi="Calibri"/>
          <w:b w:val="0"/>
          <w:bCs/>
          <w:sz w:val="21"/>
          <w:szCs w:val="21"/>
        </w:rPr>
      </w:pPr>
    </w:p>
    <w:p w14:paraId="1B7288D9">
      <w:pPr>
        <w:numPr>
          <w:ilvl w:val="0"/>
          <w:numId w:val="0"/>
        </w:numPr>
        <w:tabs>
          <w:tab w:val="left" w:pos="240"/>
        </w:tabs>
        <w:jc w:val="both"/>
        <w:rPr>
          <w:rFonts w:hint="default" w:ascii="Calibri" w:hAnsi="Calibri"/>
          <w:b w:val="0"/>
          <w:bCs/>
          <w:sz w:val="21"/>
          <w:szCs w:val="21"/>
          <w:highlight w:val="cyan"/>
        </w:rPr>
      </w:pPr>
      <w:r>
        <w:rPr>
          <w:rFonts w:hint="default" w:ascii="Calibri" w:hAnsi="Calibri"/>
          <w:b w:val="0"/>
          <w:bCs/>
          <w:sz w:val="21"/>
          <w:szCs w:val="21"/>
          <w:highlight w:val="cyan"/>
        </w:rPr>
        <w:t>Os cronogramas e as localidades de entrega de solicitações feitas por outras secretarias serão informados por estas de acordo com suas eventuais necessidades</w:t>
      </w:r>
    </w:p>
    <w:p w14:paraId="5AF24CFC">
      <w:pPr>
        <w:numPr>
          <w:ilvl w:val="0"/>
          <w:numId w:val="0"/>
        </w:numPr>
        <w:tabs>
          <w:tab w:val="left" w:pos="240"/>
        </w:tabs>
        <w:jc w:val="both"/>
        <w:rPr>
          <w:rFonts w:hint="default" w:ascii="Calibri" w:hAnsi="Calibri"/>
          <w:b w:val="0"/>
          <w:bCs/>
          <w:sz w:val="21"/>
          <w:szCs w:val="21"/>
        </w:rPr>
      </w:pPr>
    </w:p>
    <w:p w14:paraId="3B95C11F">
      <w:pPr>
        <w:numPr>
          <w:ilvl w:val="0"/>
          <w:numId w:val="0"/>
        </w:numPr>
        <w:tabs>
          <w:tab w:val="left" w:pos="240"/>
        </w:tabs>
        <w:jc w:val="both"/>
        <w:rPr>
          <w:rFonts w:hint="default" w:ascii="Calibri" w:hAnsi="Calibri"/>
          <w:b w:val="0"/>
          <w:bCs/>
          <w:sz w:val="21"/>
          <w:szCs w:val="21"/>
        </w:rPr>
      </w:pPr>
    </w:p>
    <w:p w14:paraId="36799E7C">
      <w:pPr>
        <w:spacing w:before="0" w:after="120"/>
        <w:jc w:val="both"/>
        <w:rPr>
          <w:rFonts w:hint="default" w:ascii="Calibri" w:hAnsi="Calibri"/>
          <w:b/>
          <w:bCs w:val="0"/>
          <w:sz w:val="21"/>
          <w:szCs w:val="21"/>
          <w:lang w:val="pt-BR"/>
        </w:rPr>
      </w:pPr>
      <w:r>
        <w:rPr>
          <w:rFonts w:hint="default" w:ascii="Calibri" w:hAnsi="Calibri"/>
          <w:b/>
          <w:bCs w:val="0"/>
          <w:sz w:val="21"/>
          <w:szCs w:val="21"/>
          <w:lang w:val="pt-BR"/>
        </w:rPr>
        <w:t>QUANTIDADES POR SECRETARIA:</w:t>
      </w:r>
    </w:p>
    <w:tbl>
      <w:tblPr>
        <w:tblStyle w:val="8"/>
        <w:tblW w:w="10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7"/>
        <w:gridCol w:w="354"/>
        <w:gridCol w:w="616"/>
        <w:gridCol w:w="456"/>
        <w:gridCol w:w="456"/>
        <w:gridCol w:w="456"/>
        <w:gridCol w:w="456"/>
        <w:gridCol w:w="456"/>
        <w:gridCol w:w="456"/>
        <w:gridCol w:w="456"/>
        <w:gridCol w:w="536"/>
        <w:gridCol w:w="456"/>
        <w:gridCol w:w="456"/>
        <w:gridCol w:w="409"/>
        <w:gridCol w:w="409"/>
        <w:gridCol w:w="456"/>
        <w:gridCol w:w="510"/>
        <w:gridCol w:w="456"/>
        <w:gridCol w:w="457"/>
        <w:gridCol w:w="456"/>
        <w:gridCol w:w="750"/>
      </w:tblGrid>
      <w:tr w14:paraId="45391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7" w:hRule="atLeast"/>
          <w:jc w:val="center"/>
        </w:trPr>
        <w:tc>
          <w:tcPr>
            <w:tcW w:w="567" w:type="dxa"/>
            <w:tcBorders>
              <w:top w:val="nil"/>
              <w:left w:val="nil"/>
              <w:bottom w:val="nil"/>
              <w:right w:val="nil"/>
            </w:tcBorders>
            <w:shd w:val="clear" w:color="auto" w:fill="911527"/>
            <w:vAlign w:val="center"/>
          </w:tcPr>
          <w:p w14:paraId="72AF08F2">
            <w:pPr>
              <w:jc w:val="center"/>
              <w:rPr>
                <w:rFonts w:hint="default" w:ascii="Arial Nova Cond" w:hAnsi="Arial Nova Cond" w:eastAsia="Aptos Narrow" w:cs="Arial Nova Cond"/>
                <w:b/>
                <w:bCs/>
                <w:i w:val="0"/>
                <w:iCs w:val="0"/>
                <w:color w:val="FFFFFF"/>
                <w:sz w:val="16"/>
                <w:szCs w:val="16"/>
                <w:u w:val="none"/>
                <w:lang w:val="pt-BR"/>
              </w:rPr>
            </w:pPr>
            <w:r>
              <w:rPr>
                <w:rFonts w:hint="default" w:ascii="Arial Nova Cond" w:hAnsi="Arial Nova Cond" w:eastAsia="Aptos Narrow" w:cs="Arial Nova Cond"/>
                <w:b/>
                <w:bCs/>
                <w:i w:val="0"/>
                <w:iCs w:val="0"/>
                <w:color w:val="FFFFFF"/>
                <w:sz w:val="16"/>
                <w:szCs w:val="16"/>
                <w:u w:val="none"/>
                <w:lang w:val="pt-BR"/>
              </w:rPr>
              <w:t>LOTE</w:t>
            </w:r>
          </w:p>
        </w:tc>
        <w:tc>
          <w:tcPr>
            <w:tcW w:w="354"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7D6CDF83">
            <w:pPr>
              <w:jc w:val="center"/>
              <w:rPr>
                <w:rFonts w:hint="default" w:ascii="Arial Nova Cond" w:hAnsi="Arial Nova Cond" w:eastAsia="Aptos Narrow" w:cs="Arial Nova Cond"/>
                <w:b/>
                <w:bCs/>
                <w:i w:val="0"/>
                <w:iCs w:val="0"/>
                <w:color w:val="FFFFFF"/>
                <w:sz w:val="16"/>
                <w:szCs w:val="16"/>
                <w:u w:val="none"/>
                <w:lang w:val="pt-BR"/>
              </w:rPr>
            </w:pPr>
            <w:r>
              <w:rPr>
                <w:rFonts w:hint="default" w:ascii="Arial Nova Cond" w:hAnsi="Arial Nova Cond" w:eastAsia="Aptos Narrow" w:cs="Arial Nova Cond"/>
                <w:b/>
                <w:bCs/>
                <w:i w:val="0"/>
                <w:iCs w:val="0"/>
                <w:color w:val="FFFFFF"/>
                <w:sz w:val="16"/>
                <w:szCs w:val="16"/>
                <w:u w:val="none"/>
                <w:lang w:val="pt-BR"/>
              </w:rPr>
              <w:t>ITEM</w:t>
            </w:r>
          </w:p>
        </w:tc>
        <w:tc>
          <w:tcPr>
            <w:tcW w:w="61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37CE525E">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SADS</w:t>
            </w:r>
          </w:p>
        </w:tc>
        <w:tc>
          <w:tcPr>
            <w:tcW w:w="45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7EFB1E24">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FINANÇAS</w:t>
            </w:r>
          </w:p>
        </w:tc>
        <w:tc>
          <w:tcPr>
            <w:tcW w:w="45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52DEBDAB">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GABINETE</w:t>
            </w:r>
          </w:p>
        </w:tc>
        <w:tc>
          <w:tcPr>
            <w:tcW w:w="45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5F926D02">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 xml:space="preserve">OBRAS </w:t>
            </w:r>
          </w:p>
        </w:tc>
        <w:tc>
          <w:tcPr>
            <w:tcW w:w="45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4F2B6FD5">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SERVIÇOS MUNICIPAIS</w:t>
            </w:r>
          </w:p>
        </w:tc>
        <w:tc>
          <w:tcPr>
            <w:tcW w:w="45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66BE9093">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EDUCAÇÃO</w:t>
            </w:r>
          </w:p>
        </w:tc>
        <w:tc>
          <w:tcPr>
            <w:tcW w:w="45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38EBC3EF">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ESPORTES</w:t>
            </w:r>
          </w:p>
        </w:tc>
        <w:tc>
          <w:tcPr>
            <w:tcW w:w="45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02BDA463">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CULTURA</w:t>
            </w:r>
          </w:p>
        </w:tc>
        <w:tc>
          <w:tcPr>
            <w:tcW w:w="53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0A4DDD6A">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SAÚDE</w:t>
            </w:r>
          </w:p>
        </w:tc>
        <w:tc>
          <w:tcPr>
            <w:tcW w:w="45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6363487E">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NEGÓCIOS JURÍDICOS</w:t>
            </w:r>
          </w:p>
        </w:tc>
        <w:tc>
          <w:tcPr>
            <w:tcW w:w="45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4A974DF3">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SEGURANÇA</w:t>
            </w:r>
          </w:p>
        </w:tc>
        <w:tc>
          <w:tcPr>
            <w:tcW w:w="409"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499A9A27">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AGRICULTURA</w:t>
            </w:r>
          </w:p>
        </w:tc>
        <w:tc>
          <w:tcPr>
            <w:tcW w:w="409"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15AD3D04">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EMPREGO</w:t>
            </w:r>
          </w:p>
        </w:tc>
        <w:tc>
          <w:tcPr>
            <w:tcW w:w="45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40E0AAC2">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ADM</w:t>
            </w:r>
          </w:p>
        </w:tc>
        <w:tc>
          <w:tcPr>
            <w:tcW w:w="510"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721D83B4">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TG</w:t>
            </w:r>
          </w:p>
        </w:tc>
        <w:tc>
          <w:tcPr>
            <w:tcW w:w="45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16FB5DB8">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GOVERNO</w:t>
            </w:r>
          </w:p>
        </w:tc>
        <w:tc>
          <w:tcPr>
            <w:tcW w:w="457"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0AC1564B">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TRANSPORTE</w:t>
            </w:r>
          </w:p>
        </w:tc>
        <w:tc>
          <w:tcPr>
            <w:tcW w:w="456" w:type="dxa"/>
            <w:tcBorders>
              <w:top w:val="single" w:color="000000" w:sz="2" w:space="0"/>
              <w:left w:val="single" w:color="000000" w:sz="2" w:space="0"/>
              <w:bottom w:val="single" w:color="000000" w:sz="2" w:space="0"/>
              <w:right w:val="single" w:color="000000" w:sz="2" w:space="0"/>
            </w:tcBorders>
            <w:shd w:val="clear" w:color="auto" w:fill="911527"/>
            <w:textDirection w:val="btLr"/>
            <w:vAlign w:val="center"/>
          </w:tcPr>
          <w:p w14:paraId="25ABC5A8">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6"/>
                <w:szCs w:val="16"/>
                <w:u w:val="none"/>
              </w:rPr>
            </w:pPr>
            <w:r>
              <w:rPr>
                <w:rFonts w:hint="default" w:ascii="Arial Nova Cond" w:hAnsi="Arial Nova Cond" w:eastAsia="Aptos Narrow" w:cs="Arial Nova Cond"/>
                <w:b/>
                <w:bCs/>
                <w:i w:val="0"/>
                <w:iCs w:val="0"/>
                <w:color w:val="FFFFFF"/>
                <w:kern w:val="0"/>
                <w:sz w:val="16"/>
                <w:szCs w:val="16"/>
                <w:u w:val="none"/>
                <w:lang w:val="en-US" w:eastAsia="zh-CN" w:bidi="ar"/>
              </w:rPr>
              <w:t>MEIO AMBIENTE</w:t>
            </w:r>
          </w:p>
        </w:tc>
        <w:tc>
          <w:tcPr>
            <w:tcW w:w="750" w:type="dxa"/>
            <w:tcBorders>
              <w:top w:val="single" w:color="000000" w:sz="2" w:space="0"/>
              <w:left w:val="single" w:color="000000" w:sz="2" w:space="0"/>
              <w:bottom w:val="single" w:color="000000" w:sz="2" w:space="0"/>
              <w:right w:val="single" w:color="000000" w:sz="2" w:space="0"/>
            </w:tcBorders>
            <w:shd w:val="clear" w:color="auto" w:fill="FBE4E8"/>
            <w:textDirection w:val="btLr"/>
            <w:vAlign w:val="center"/>
          </w:tcPr>
          <w:p w14:paraId="2091FCE7">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E13D58"/>
                <w:kern w:val="0"/>
                <w:sz w:val="16"/>
                <w:szCs w:val="16"/>
                <w:u w:val="none"/>
                <w:lang w:val="pt-BR" w:eastAsia="zh-CN" w:bidi="ar"/>
              </w:rPr>
            </w:pPr>
            <w:r>
              <w:rPr>
                <w:rFonts w:hint="default" w:ascii="Arial Nova Cond" w:hAnsi="Arial Nova Cond" w:eastAsia="Aptos Narrow" w:cs="Arial Nova Cond"/>
                <w:b/>
                <w:bCs/>
                <w:i w:val="0"/>
                <w:iCs w:val="0"/>
                <w:color w:val="E13D58"/>
                <w:kern w:val="0"/>
                <w:sz w:val="16"/>
                <w:szCs w:val="16"/>
                <w:u w:val="none"/>
                <w:lang w:val="pt-BR" w:eastAsia="zh-CN" w:bidi="ar"/>
              </w:rPr>
              <w:t>TOTAL</w:t>
            </w:r>
          </w:p>
        </w:tc>
      </w:tr>
      <w:tr w14:paraId="3E178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noWrap/>
            <w:vAlign w:val="center"/>
          </w:tcPr>
          <w:p w14:paraId="3F3D0127">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pt-BR" w:eastAsia="zh-CN" w:bidi="ar"/>
                <w14:textFill>
                  <w14:solidFill>
                    <w14:schemeClr w14:val="bg1"/>
                  </w14:solidFill>
                </w14:textFill>
              </w:rPr>
              <w:t>0</w:t>
            </w: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1</w:t>
            </w:r>
          </w:p>
        </w:tc>
        <w:tc>
          <w:tcPr>
            <w:tcW w:w="354" w:type="dxa"/>
            <w:tcBorders>
              <w:top w:val="single" w:color="000000" w:sz="2" w:space="0"/>
              <w:left w:val="single" w:color="000000" w:sz="2" w:space="0"/>
              <w:bottom w:val="single" w:color="000000" w:sz="2" w:space="0"/>
              <w:right w:val="single" w:color="000000" w:sz="2" w:space="0"/>
            </w:tcBorders>
            <w:shd w:val="clear" w:color="auto" w:fill="FBE4E8"/>
            <w:noWrap/>
            <w:vAlign w:val="center"/>
          </w:tcPr>
          <w:p w14:paraId="3A37D46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2B84C4">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BF2202">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150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6FEB2F">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2407D0">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7B292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300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17B17F9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ABBC49">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B6AC71">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300</w:t>
            </w:r>
          </w:p>
        </w:tc>
        <w:tc>
          <w:tcPr>
            <w:tcW w:w="53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BFD3F9">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300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9DEAC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489981">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300</w:t>
            </w:r>
          </w:p>
        </w:tc>
        <w:tc>
          <w:tcPr>
            <w:tcW w:w="409"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7E34F9">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30</w:t>
            </w:r>
          </w:p>
        </w:tc>
        <w:tc>
          <w:tcPr>
            <w:tcW w:w="409"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0535A4">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7B44C7">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51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E7AB9A">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36</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02DB80">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12</w:t>
            </w:r>
          </w:p>
        </w:tc>
        <w:tc>
          <w:tcPr>
            <w:tcW w:w="45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3C2D51">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F16E9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120</w:t>
            </w:r>
          </w:p>
        </w:tc>
        <w:tc>
          <w:tcPr>
            <w:tcW w:w="750" w:type="dxa"/>
            <w:tcBorders>
              <w:top w:val="single" w:color="000000" w:sz="2" w:space="0"/>
              <w:left w:val="single" w:color="000000" w:sz="2" w:space="0"/>
              <w:bottom w:val="single" w:color="000000" w:sz="2" w:space="0"/>
              <w:right w:val="single" w:color="000000" w:sz="2" w:space="0"/>
            </w:tcBorders>
            <w:shd w:val="clear" w:color="auto" w:fill="FBE4E8"/>
            <w:noWrap/>
            <w:vAlign w:val="center"/>
          </w:tcPr>
          <w:p w14:paraId="40F1FD7F">
            <w:pPr>
              <w:keepNext w:val="0"/>
              <w:keepLines w:val="0"/>
              <w:widowControl/>
              <w:suppressLineNumbers w:val="0"/>
              <w:jc w:val="center"/>
              <w:textAlignment w:val="bottom"/>
              <w:rPr>
                <w:rFonts w:hint="default" w:ascii="Arial Nova Cond" w:hAnsi="Arial Nova Cond" w:eastAsia="Aptos Narrow" w:cs="Arial Nova Cond"/>
                <w:b/>
                <w:bCs/>
                <w:i w:val="0"/>
                <w:iCs w:val="0"/>
                <w:color w:val="E13D58"/>
                <w:kern w:val="0"/>
                <w:sz w:val="18"/>
                <w:szCs w:val="18"/>
                <w:u w:val="none"/>
                <w:lang w:val="en-US" w:eastAsia="zh-CN" w:bidi="ar"/>
              </w:rPr>
            </w:pPr>
            <w:r>
              <w:rPr>
                <w:rFonts w:hint="default" w:ascii="Arial Nova Cond" w:hAnsi="Arial Nova Cond" w:eastAsia="Aptos Narrow" w:cs="Arial Nova Cond"/>
                <w:b/>
                <w:bCs/>
                <w:i w:val="0"/>
                <w:iCs w:val="0"/>
                <w:color w:val="E13D58"/>
                <w:kern w:val="0"/>
                <w:sz w:val="18"/>
                <w:szCs w:val="18"/>
                <w:u w:val="none"/>
                <w:lang w:val="en-US" w:eastAsia="zh-CN" w:bidi="ar"/>
              </w:rPr>
              <w:t>5998</w:t>
            </w:r>
          </w:p>
        </w:tc>
      </w:tr>
      <w:tr w14:paraId="47FD1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noWrap/>
            <w:vAlign w:val="center"/>
          </w:tcPr>
          <w:p w14:paraId="0A23C7BB">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pt-BR" w:eastAsia="zh-CN" w:bidi="ar"/>
                <w14:textFill>
                  <w14:solidFill>
                    <w14:schemeClr w14:val="bg1"/>
                  </w14:solidFill>
                </w14:textFill>
              </w:rPr>
              <w:t>0</w:t>
            </w: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2</w:t>
            </w:r>
          </w:p>
        </w:tc>
        <w:tc>
          <w:tcPr>
            <w:tcW w:w="354" w:type="dxa"/>
            <w:tcBorders>
              <w:top w:val="single" w:color="000000" w:sz="2" w:space="0"/>
              <w:left w:val="single" w:color="000000" w:sz="2" w:space="0"/>
              <w:bottom w:val="single" w:color="000000" w:sz="2" w:space="0"/>
              <w:right w:val="single" w:color="000000" w:sz="2" w:space="0"/>
            </w:tcBorders>
            <w:shd w:val="clear" w:color="auto" w:fill="FBE4E8"/>
            <w:noWrap/>
            <w:vAlign w:val="center"/>
          </w:tcPr>
          <w:p w14:paraId="62040A4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151E99">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ED3940">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30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89A647">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300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EF5EE6">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DCF162">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883F5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9A8CE7">
            <w:pPr>
              <w:jc w:val="center"/>
              <w:rPr>
                <w:rFonts w:hint="default" w:ascii="Arial Nova Cond" w:hAnsi="Arial Nova Cond" w:eastAsia="Aptos Narrow" w:cs="Arial Nova Cond"/>
                <w:b/>
                <w:bCs/>
                <w:i w:val="0"/>
                <w:iCs w:val="0"/>
                <w:color w:val="E13D58"/>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EE9175">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w:t>
            </w:r>
          </w:p>
        </w:tc>
        <w:tc>
          <w:tcPr>
            <w:tcW w:w="53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F3595F">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98EFD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6687D0">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w:t>
            </w:r>
          </w:p>
        </w:tc>
        <w:tc>
          <w:tcPr>
            <w:tcW w:w="409"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479E60">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w:t>
            </w:r>
          </w:p>
        </w:tc>
        <w:tc>
          <w:tcPr>
            <w:tcW w:w="409"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623F8E">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30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8CFD5B">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30</w:t>
            </w:r>
          </w:p>
        </w:tc>
        <w:tc>
          <w:tcPr>
            <w:tcW w:w="51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38B980">
            <w:pPr>
              <w:jc w:val="center"/>
              <w:rPr>
                <w:rFonts w:hint="default" w:ascii="Arial Nova Cond" w:hAnsi="Arial Nova Cond" w:eastAsia="Aptos Narrow" w:cs="Arial Nova Cond"/>
                <w:b/>
                <w:bCs/>
                <w:i w:val="0"/>
                <w:iCs w:val="0"/>
                <w:color w:val="E13D58"/>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3DE3B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w:t>
            </w:r>
          </w:p>
        </w:tc>
        <w:tc>
          <w:tcPr>
            <w:tcW w:w="457"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7C0A9F0E">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w:t>
            </w:r>
          </w:p>
        </w:tc>
        <w:tc>
          <w:tcPr>
            <w:tcW w:w="456"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AB64E2">
            <w:pPr>
              <w:keepNext w:val="0"/>
              <w:keepLines w:val="0"/>
              <w:widowControl/>
              <w:suppressLineNumbers w:val="0"/>
              <w:jc w:val="center"/>
              <w:textAlignment w:val="center"/>
              <w:rPr>
                <w:rFonts w:hint="default" w:ascii="Arial Nova Cond" w:hAnsi="Arial Nova Cond" w:eastAsia="Aptos Narrow" w:cs="Arial Nova Cond"/>
                <w:i w:val="0"/>
                <w:iCs w:val="0"/>
                <w:color w:val="000000"/>
                <w:sz w:val="16"/>
                <w:szCs w:val="16"/>
                <w:u w:val="none"/>
              </w:rPr>
            </w:pPr>
            <w:r>
              <w:rPr>
                <w:rFonts w:hint="default" w:ascii="Arial Nova Cond" w:hAnsi="Arial Nova Cond" w:eastAsia="Aptos Narrow" w:cs="Arial Nova Cond"/>
                <w:i w:val="0"/>
                <w:iCs w:val="0"/>
                <w:color w:val="000000"/>
                <w:kern w:val="0"/>
                <w:sz w:val="16"/>
                <w:szCs w:val="16"/>
                <w:u w:val="none"/>
                <w:lang w:val="en-US" w:eastAsia="zh-CN" w:bidi="a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noWrap/>
            <w:vAlign w:val="center"/>
          </w:tcPr>
          <w:p w14:paraId="2F518D6A">
            <w:pPr>
              <w:keepNext w:val="0"/>
              <w:keepLines w:val="0"/>
              <w:widowControl/>
              <w:suppressLineNumbers w:val="0"/>
              <w:jc w:val="center"/>
              <w:textAlignment w:val="bottom"/>
              <w:rPr>
                <w:rFonts w:hint="default" w:ascii="Arial Nova Cond" w:hAnsi="Arial Nova Cond" w:eastAsia="Aptos Narrow" w:cs="Arial Nova Cond"/>
                <w:b/>
                <w:bCs/>
                <w:i w:val="0"/>
                <w:iCs w:val="0"/>
                <w:color w:val="E13D58"/>
                <w:kern w:val="0"/>
                <w:sz w:val="18"/>
                <w:szCs w:val="18"/>
                <w:u w:val="none"/>
                <w:lang w:val="en-US" w:eastAsia="zh-CN" w:bidi="ar"/>
              </w:rPr>
            </w:pPr>
            <w:r>
              <w:rPr>
                <w:rFonts w:hint="default" w:ascii="Arial Nova Cond" w:hAnsi="Arial Nova Cond" w:eastAsia="Aptos Narrow" w:cs="Arial Nova Cond"/>
                <w:b/>
                <w:bCs/>
                <w:i w:val="0"/>
                <w:iCs w:val="0"/>
                <w:color w:val="E13D58"/>
                <w:kern w:val="0"/>
                <w:sz w:val="18"/>
                <w:szCs w:val="18"/>
                <w:u w:val="none"/>
                <w:lang w:val="en-US" w:eastAsia="zh-CN" w:bidi="ar"/>
              </w:rPr>
              <w:t>2781</w:t>
            </w:r>
          </w:p>
        </w:tc>
      </w:tr>
      <w:tr w14:paraId="01E0D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71F01E63">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03</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349059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61F91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C3E37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05F55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B20A6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10D66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5500B1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F712C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5C43E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6E1C731">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0A461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854AA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CD8361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6E726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E6C46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CC1E32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CA59E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B99B81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CEBD62">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CDB4F81">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250</w:t>
            </w:r>
          </w:p>
        </w:tc>
      </w:tr>
      <w:tr w14:paraId="1C9AE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111D42F7">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04</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DC1DF6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7BE9F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BF4B23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4999C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B7FC33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5381D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B0DDE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F47854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35C88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4B6A4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322ED4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BB113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558B44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7DAC7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E8EDF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A111B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17B69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FB5FF3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249057">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18D434D0">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200</w:t>
            </w:r>
          </w:p>
        </w:tc>
      </w:tr>
      <w:tr w14:paraId="62568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restart"/>
            <w:tcBorders>
              <w:top w:val="single" w:color="000000" w:sz="2" w:space="0"/>
              <w:left w:val="single" w:color="000000" w:sz="2" w:space="0"/>
              <w:bottom w:val="single" w:color="000000" w:sz="2" w:space="0"/>
              <w:right w:val="single" w:color="000000" w:sz="2" w:space="0"/>
            </w:tcBorders>
            <w:shd w:val="clear" w:color="auto" w:fill="911527"/>
            <w:vAlign w:val="center"/>
          </w:tcPr>
          <w:p w14:paraId="2BE8E6DA">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05</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545D1A5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35D61F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391FC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1466B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23928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87C52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C7230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B9391C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ADDBA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138E7F">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EF6A4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9AE8B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75472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99187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2CF39F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AB2E0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114CCD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5F645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B161B2">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6D40E7A5">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540</w:t>
            </w:r>
          </w:p>
        </w:tc>
      </w:tr>
      <w:tr w14:paraId="38F58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4D265CC6">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5600AEE">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2</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D5A3C1">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4CCF0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17AF0E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C557A7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88035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CCF3C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C3676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392C2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95E716">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6468DB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10FE9B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0BBC2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C48CF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37C9F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20141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967CC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B56EB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C6D200">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2F71F5E">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1040</w:t>
            </w:r>
          </w:p>
        </w:tc>
      </w:tr>
      <w:tr w14:paraId="56A7B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76A6F059">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0D499EF">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3</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63C4B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9C1EC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F4916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88DDFC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0D79F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ECFB7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59FBE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6C4E9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775C44">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4567D3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32959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C09FC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D6FE0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FCCD28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F88E1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620A3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1EB4C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43F4D1">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F3B724F">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240</w:t>
            </w:r>
          </w:p>
        </w:tc>
      </w:tr>
      <w:tr w14:paraId="275D5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51A4154F">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453793F">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4</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5DAF5B6">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9C0BC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01F23A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06E57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DB2849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385F5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4D520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8EC53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CE9487">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B1C2DE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2C3449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1FDD56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F6C70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69D7B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55C5BE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01A62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5FDA3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DB22BB">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21CA231">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1040</w:t>
            </w:r>
          </w:p>
        </w:tc>
      </w:tr>
      <w:tr w14:paraId="15EAA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0DFEAC34">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pt-BR" w:eastAsia="zh-CN" w:bidi="ar"/>
                <w14:textFill>
                  <w14:solidFill>
                    <w14:schemeClr w14:val="bg1"/>
                  </w14:solidFill>
                </w14:textFill>
              </w:rPr>
              <w:t>0</w:t>
            </w: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6</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A42554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68E9CC7">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5FB3F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0E764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1BEE6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70C36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CDAAE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0D7F0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98A87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0CCF62">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86A0E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8391A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99363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80A9D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CDA17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E8DFC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6574D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6775D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31DE7A">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B6AB4AC">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140</w:t>
            </w:r>
          </w:p>
        </w:tc>
      </w:tr>
      <w:tr w14:paraId="1A153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40653F3D">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pt-BR" w:eastAsia="zh-CN" w:bidi="ar"/>
                <w14:textFill>
                  <w14:solidFill>
                    <w14:schemeClr w14:val="bg1"/>
                  </w14:solidFill>
                </w14:textFill>
              </w:rPr>
              <w:t>0</w:t>
            </w: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7</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5009180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82D6F5">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68A575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0B28E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1E90F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66FE5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22A7F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B4A43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B53944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DDB0F0">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6AA6C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0BB0E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39018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E546B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C73CE2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45BDB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5A653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CAF0AE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CA9F2F8">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1D032B4">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440</w:t>
            </w:r>
          </w:p>
        </w:tc>
      </w:tr>
      <w:tr w14:paraId="7EE36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restart"/>
            <w:tcBorders>
              <w:top w:val="single" w:color="000000" w:sz="2" w:space="0"/>
              <w:left w:val="single" w:color="000000" w:sz="2" w:space="0"/>
              <w:bottom w:val="single" w:color="000000" w:sz="2" w:space="0"/>
              <w:right w:val="single" w:color="000000" w:sz="2" w:space="0"/>
            </w:tcBorders>
            <w:shd w:val="clear" w:color="auto" w:fill="911527"/>
            <w:vAlign w:val="center"/>
          </w:tcPr>
          <w:p w14:paraId="786E5A8A">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pt-BR" w:eastAsia="zh-CN" w:bidi="ar"/>
                <w14:textFill>
                  <w14:solidFill>
                    <w14:schemeClr w14:val="bg1"/>
                  </w14:solidFill>
                </w14:textFill>
              </w:rPr>
              <w:t>0</w:t>
            </w: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8</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650F0B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D13C7E">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52BE3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FB866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C7690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DC739A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67D43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E9239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F0D3CD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5C5174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9ED25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A12E8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ED00E0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08B26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F2627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8E321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B3C1D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83BC8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0808C9">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51721C9">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510</w:t>
            </w:r>
          </w:p>
        </w:tc>
      </w:tr>
      <w:tr w14:paraId="68721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060CE796">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A6812CB">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2</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1BED1B">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379D4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7382A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43C58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44C7F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853C7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6BA56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3B1BF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B9C92E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123C0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D00B6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3CC60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EB7AF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A4F3E3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6DF84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FCB082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B71724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DF6D00">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7B8EE85">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250</w:t>
            </w:r>
          </w:p>
        </w:tc>
      </w:tr>
      <w:tr w14:paraId="56123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09E1E1EA">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pt-BR" w:eastAsia="zh-CN" w:bidi="ar"/>
                <w14:textFill>
                  <w14:solidFill>
                    <w14:schemeClr w14:val="bg1"/>
                  </w14:solidFill>
                </w14:textFill>
              </w:rPr>
              <w:t>0</w:t>
            </w: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9</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AB5ED3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7D34C6">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A8D5FA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97CCF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882FE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1597C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F62EC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18D80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8A9C39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7B760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D4DB3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5BBA3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B0AF7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29518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B5561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62EF4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CA139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3D0B6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6D829B">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6C171F3B">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250</w:t>
            </w:r>
          </w:p>
        </w:tc>
      </w:tr>
      <w:tr w14:paraId="20FA0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3F5D139F">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10</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550F537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F97ACBF">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31C94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AC31A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2CA7B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4AB0C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F2CC9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CE996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97532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C64303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132</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C9977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F3EC0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5C448C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12CC30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D4E9A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F7EF23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36</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56985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C25303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AF154E7">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ABB52FC">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5168</w:t>
            </w:r>
          </w:p>
        </w:tc>
      </w:tr>
      <w:tr w14:paraId="1BB9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vMerge w:val="restart"/>
            <w:tcBorders>
              <w:top w:val="single" w:color="000000" w:sz="2" w:space="0"/>
              <w:left w:val="single" w:color="000000" w:sz="2" w:space="0"/>
              <w:bottom w:val="single" w:color="000000" w:sz="2" w:space="0"/>
              <w:right w:val="single" w:color="000000" w:sz="2" w:space="0"/>
            </w:tcBorders>
            <w:shd w:val="clear" w:color="auto" w:fill="911527"/>
            <w:vAlign w:val="center"/>
          </w:tcPr>
          <w:p w14:paraId="35420C44">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11</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FBA95F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A79C3B1">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DE88B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3A7042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BF264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E994F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106B6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D9D263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5CBF1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77976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053E6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258E7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09DCC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9A4E2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5327B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505064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7B39B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DDA536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5F61DF">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F7D58C0">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600</w:t>
            </w:r>
          </w:p>
        </w:tc>
      </w:tr>
      <w:tr w14:paraId="04B7A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74D179E0">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01A60C3">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2</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F048EB">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4798E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DD037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33B2CD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5FCD65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75369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E1544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586B8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AEE15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55</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C760E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3EA53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C5D67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515D1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C806A5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D35D38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6AF2B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DF081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20E941">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542F11C5">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555</w:t>
            </w:r>
          </w:p>
        </w:tc>
      </w:tr>
      <w:tr w14:paraId="7BCCD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4B4BB721">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92E0D3E">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3</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C502CE">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2236B7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00A61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F82B8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23DEE0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B9BB8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9495B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B6020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A749B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80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A7391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B4846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1BBE0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6E44B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28C79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85E29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501085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563D13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6AEE47">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100455B1">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580</w:t>
            </w:r>
          </w:p>
        </w:tc>
      </w:tr>
      <w:tr w14:paraId="2E917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19738047">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12</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64042D4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4850F3A">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BD3C1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7071B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EFB8F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8FD68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72FCC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772F9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A8BB2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301FC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B93B4F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F217B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F4A05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8D6FE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B546D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9C8BA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16C982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608F7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8DC85F3">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4AB49C2">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100</w:t>
            </w:r>
          </w:p>
        </w:tc>
      </w:tr>
      <w:tr w14:paraId="5A632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vMerge w:val="restart"/>
            <w:tcBorders>
              <w:top w:val="single" w:color="000000" w:sz="2" w:space="0"/>
              <w:left w:val="single" w:color="000000" w:sz="2" w:space="0"/>
              <w:bottom w:val="single" w:color="000000" w:sz="2" w:space="0"/>
              <w:right w:val="single" w:color="000000" w:sz="2" w:space="0"/>
            </w:tcBorders>
            <w:shd w:val="clear" w:color="auto" w:fill="911527"/>
            <w:vAlign w:val="center"/>
          </w:tcPr>
          <w:p w14:paraId="1D572036">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13</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6927692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E42E8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6BCE60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71F46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2A6B76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F9D1A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37C69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00418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C1EDD7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96EB4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FF013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D0D212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84F636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A345D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EA0BD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8AB08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120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B469F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FD152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64AEC7">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1D84D5C5">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1620</w:t>
            </w:r>
          </w:p>
        </w:tc>
      </w:tr>
      <w:tr w14:paraId="20573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4E925433">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8152CC0">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2</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ADFF4B">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1F7B80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1F291F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673C2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44D03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278F6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BF7224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6732C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399923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18001D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82F24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9DAD9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63A1F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B2C465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F19310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120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FF5BC5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31820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F3CE68">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FCBB086">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1620</w:t>
            </w:r>
          </w:p>
        </w:tc>
      </w:tr>
      <w:tr w14:paraId="4AEB1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29AF9BC4">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3AD8780">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3</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A835FF">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BFF2F8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53FF3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79910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85DF0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AF077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7B1EF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315D3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F52FAA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42A1E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BBDD0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15699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5A2C2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4EDA8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675F57">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120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59C24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18B52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F4F2C93">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E1F8ACA">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1620</w:t>
            </w:r>
          </w:p>
        </w:tc>
      </w:tr>
      <w:tr w14:paraId="10A84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restart"/>
            <w:tcBorders>
              <w:top w:val="single" w:color="000000" w:sz="2" w:space="0"/>
              <w:left w:val="single" w:color="000000" w:sz="2" w:space="0"/>
              <w:bottom w:val="single" w:color="000000" w:sz="2" w:space="0"/>
              <w:right w:val="single" w:color="000000" w:sz="2" w:space="0"/>
            </w:tcBorders>
            <w:shd w:val="clear" w:color="auto" w:fill="911527"/>
            <w:vAlign w:val="center"/>
          </w:tcPr>
          <w:p w14:paraId="0A7E3200">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14</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65D005B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4</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E5E677">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F09BB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E0E0E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5B03F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AE45AC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083679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CA667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3260C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4C21F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2CBE7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40D41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4E258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F390F7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F46D6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BD1E8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81C49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5529A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6B2DBB">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E5E5750">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3000</w:t>
            </w:r>
          </w:p>
        </w:tc>
      </w:tr>
      <w:tr w14:paraId="07F83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54E53B86">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40F5425">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5</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ABF20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05EB1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1693C0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E62190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683CB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1B247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89F44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BC3E6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A0BEB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F543B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58507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46066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B693CB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CD4E0B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264FE5E">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120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7F2896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29CC5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AE44EA8">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55BD6D2D">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1820</w:t>
            </w:r>
          </w:p>
        </w:tc>
      </w:tr>
      <w:tr w14:paraId="3F393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restart"/>
            <w:tcBorders>
              <w:top w:val="single" w:color="000000" w:sz="2" w:space="0"/>
              <w:left w:val="single" w:color="000000" w:sz="2" w:space="0"/>
              <w:bottom w:val="single" w:color="000000" w:sz="2" w:space="0"/>
              <w:right w:val="single" w:color="000000" w:sz="2" w:space="0"/>
            </w:tcBorders>
            <w:shd w:val="clear" w:color="auto" w:fill="911527"/>
            <w:vAlign w:val="center"/>
          </w:tcPr>
          <w:p w14:paraId="6F8A878D">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15</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5A6F525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06EB24">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E6491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F5C94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7C592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1FD0D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6EF10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868C3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22399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DFE95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C057C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31483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B4AE23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298F1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32963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D9B5F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C2792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70D25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FB2F50">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27AF8F6">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1500</w:t>
            </w:r>
          </w:p>
        </w:tc>
      </w:tr>
      <w:tr w14:paraId="50EC3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3938CF9F">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59DC23E">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2</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3BE320">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A0FFE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17CBA0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BD8B9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2A035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8198A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C16B9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57E7A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D83633">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1B81E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BD1909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9A1BA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BDCEC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3FC8E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A093A5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BD6C30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20D20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4B44D3E">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5CB15E46">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10000</w:t>
            </w:r>
          </w:p>
        </w:tc>
      </w:tr>
      <w:tr w14:paraId="11484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206C1A23">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1F1F10CB">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3</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C7A486">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F068C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AD5B3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791BE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1D4A3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DEFE4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07E62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66B2A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784623">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B88F33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63CDE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C8F66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1B260C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01DF7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7C662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79D5F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A1B1E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1F92D2">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175A5B8">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300</w:t>
            </w:r>
          </w:p>
        </w:tc>
      </w:tr>
      <w:tr w14:paraId="65D27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3EA5154D">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16</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19AF4A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47A521">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DE089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073412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29FC5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6C72D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6A9B9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9FB5E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B8670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695A80">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3252B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692D2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560E3D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46DFD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201DD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61E2F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C63D5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2D08B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3026F9">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2FA6757">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2010</w:t>
            </w:r>
          </w:p>
        </w:tc>
      </w:tr>
      <w:tr w14:paraId="032A8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14862649">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17</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B99FF8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8EE9A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F4CBBD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3A72E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35B08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297BB1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B9E9B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B74C15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964F3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69C43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F8A95F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AA8953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AEDF3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4FADE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BF6F5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E2C78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B56AF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6EE8D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B1A5F0">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2A97DF3">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510</w:t>
            </w:r>
          </w:p>
        </w:tc>
      </w:tr>
      <w:tr w14:paraId="2185A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7E73AE44">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18</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3C49AD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1A52F3">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AE7B78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B4A36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6A879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A48B6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0656E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72CBE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FD0A8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8A19D5">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60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8D4C6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16ACC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31653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7B9E25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82364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6E89C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BF700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EC9C7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06D1CA">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F486416">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1060</w:t>
            </w:r>
          </w:p>
        </w:tc>
      </w:tr>
      <w:tr w14:paraId="4F87A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671B0976">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19</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E60CF5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94B77F">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6D2B7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39E22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440B6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24239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E9EC0A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C5E66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96DB4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22673B">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69A85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DC631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47FBB1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E6DD3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1854F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F2A4C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2CD71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4717F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66AB51">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5D8A564">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20500</w:t>
            </w:r>
          </w:p>
        </w:tc>
      </w:tr>
      <w:tr w14:paraId="20D3D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07E30A9A">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20</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15E6732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E5B400">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6000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13D8AE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D2CA1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FDFAC7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AF16D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0C095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DA5A8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4668B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307C17">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E59F5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7E1BA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FB26E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7777A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2E47E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D1393A2">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120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6B482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95D7B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F32F0F">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827DE17">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7120</w:t>
            </w:r>
          </w:p>
        </w:tc>
      </w:tr>
      <w:tr w14:paraId="5AC04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61447363">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21</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35EE31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151B4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779B7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B36E17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F149A4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636BA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FBA3BC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76B5FA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8CBF82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D5C67E">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6</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A5761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D815A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3386D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15B7BE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C99D38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CC08B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9FA3C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DC39B4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13F2066">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BAE67BF">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106</w:t>
            </w:r>
          </w:p>
        </w:tc>
      </w:tr>
      <w:tr w14:paraId="70EB3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49D6E751">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22</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5988AAE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D2BF5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C8EE2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FCF170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FFC79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2F289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A4ABB3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10F62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C6697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7074CF">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FBFA5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44A32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87700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AFC0CB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85113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7E753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B86AA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74A7E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C647E4">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BE19BD3">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440</w:t>
            </w:r>
          </w:p>
        </w:tc>
      </w:tr>
      <w:tr w14:paraId="4E973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6580A4F9">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23</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6332117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693618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B8EDA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572A6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79C3A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2F5E5F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8DB9D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5EEA74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4D8A1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BBB08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69279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75FAD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35BA9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EFF14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DFBDA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D91A99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4FF8B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4DFB1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2BB1E9">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595F6A0">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450</w:t>
            </w:r>
          </w:p>
        </w:tc>
      </w:tr>
      <w:tr w14:paraId="537BB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43B70975">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24</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6A2E3C2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4D97AE">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4EE6E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61F7EF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8B245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D3551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40870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1FC7E6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D394E3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1A703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7021D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4A980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B0823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AAA99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08EE8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D0312E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A8980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BD90A2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BE5C73">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23B1362">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1000</w:t>
            </w:r>
          </w:p>
        </w:tc>
      </w:tr>
      <w:tr w14:paraId="74483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45A59E3B">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25</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7ED965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57DBB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800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5E552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B5B0C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EFD4B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94F11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710FEE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DEE082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A78D7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F0240F">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A871FA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8AC28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A5475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1C942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441E4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11A4E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2D078C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F217B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B78735">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649F6930">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900</w:t>
            </w:r>
          </w:p>
        </w:tc>
      </w:tr>
      <w:tr w14:paraId="76150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restart"/>
            <w:tcBorders>
              <w:top w:val="single" w:color="000000" w:sz="2" w:space="0"/>
              <w:left w:val="single" w:color="000000" w:sz="2" w:space="0"/>
              <w:bottom w:val="single" w:color="000000" w:sz="2" w:space="0"/>
              <w:right w:val="single" w:color="000000" w:sz="2" w:space="0"/>
            </w:tcBorders>
            <w:shd w:val="clear" w:color="auto" w:fill="911527"/>
            <w:vAlign w:val="center"/>
          </w:tcPr>
          <w:p w14:paraId="6221F48E">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26</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58787E8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05929DA">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4F0BDD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656ECE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B59C4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F6D7EA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18C8D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9EB47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EC699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63094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7D9F2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F56C6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A77000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ADB5E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3359A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03661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1ABD5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763B9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EA0924">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6A573CD">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50</w:t>
            </w:r>
          </w:p>
        </w:tc>
      </w:tr>
      <w:tr w14:paraId="4FAE8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347DD11A">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E7461C4">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2</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8D1579">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0334C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64AF0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4BD531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66EEC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C0C6A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36178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EB4C6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A0E1B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30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683C6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59A6EA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47153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6FD08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B670D9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C0DF0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4AFAF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C3089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D5A3BC">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65BE3381">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1030</w:t>
            </w:r>
          </w:p>
        </w:tc>
      </w:tr>
      <w:tr w14:paraId="2DD19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3B4C0E38">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27</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98DD0F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9DE8D9">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254B3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4E507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45590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209F8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57A7F1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17085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9B9A8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97004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7E2FE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C2E3C0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B58A1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9E2A6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834CD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FF512D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86A4C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B0E8B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45DB2F">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D3E8406">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260</w:t>
            </w:r>
          </w:p>
        </w:tc>
      </w:tr>
      <w:tr w14:paraId="13AD6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5989FFE4">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28</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904E6B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5BFC95">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BBF3A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88052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FAF8A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31726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A0834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14515F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4A0F1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04A36B">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4F494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BD7A4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F4A1ED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5ED9D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00E66D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E59B9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F1A38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A3EFF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FEF081">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6214DF87">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510</w:t>
            </w:r>
          </w:p>
        </w:tc>
      </w:tr>
      <w:tr w14:paraId="5185E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68B50186">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29</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15A677A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2FAA12">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4C84F7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1E8AE0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3A435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675A6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A37619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BBA54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D2E37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A9FC6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0A814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FB0B1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5E558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B5C2E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C77821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AEF8E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0B73E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CD75A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835F6F">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CE7284F">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250</w:t>
            </w:r>
          </w:p>
        </w:tc>
      </w:tr>
      <w:tr w14:paraId="43480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6137F128">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30</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54D30C3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383716">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05FC4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39551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5C077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0486F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3FC4B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D23C64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D5A46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45AC0D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5CC6C5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1210C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A212E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BCEB0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AF25E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A79FF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D3602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002BD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1FC3A8">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F0038B3">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1000</w:t>
            </w:r>
          </w:p>
        </w:tc>
      </w:tr>
      <w:tr w14:paraId="0BD1B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restart"/>
            <w:tcBorders>
              <w:top w:val="single" w:color="000000" w:sz="2" w:space="0"/>
              <w:left w:val="single" w:color="000000" w:sz="2" w:space="0"/>
              <w:bottom w:val="single" w:color="000000" w:sz="2" w:space="0"/>
              <w:right w:val="single" w:color="000000" w:sz="2" w:space="0"/>
            </w:tcBorders>
            <w:shd w:val="clear" w:color="auto" w:fill="911527"/>
            <w:vAlign w:val="center"/>
          </w:tcPr>
          <w:p w14:paraId="33356DB8">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31</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C71D11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D9E9E3">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40F71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3DF69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C0B5F7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FA90C7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27A5D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F6038F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ECE57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A0E686">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2574D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BAF8F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19F78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FDC61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A22CE6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38BAC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2C418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97165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D7577C">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73BD684">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260</w:t>
            </w:r>
          </w:p>
        </w:tc>
      </w:tr>
      <w:tr w14:paraId="560AA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08A19E84">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16C76250">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2</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EE5852">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23F80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B20B6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A0507E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65779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DF216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51CD9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133F7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B4BC6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DFDE05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807E9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1E181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681927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F7E7D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F5032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452C1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C0E42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EA8F731">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A31DC01">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100</w:t>
            </w:r>
          </w:p>
        </w:tc>
      </w:tr>
      <w:tr w14:paraId="6260B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5D8E3CF0">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BE83F7E">
            <w:pPr>
              <w:jc w:val="center"/>
              <w:rPr>
                <w:rFonts w:hint="default" w:ascii="Arial Nova Cond" w:hAnsi="Arial Nova Cond" w:eastAsia="Aptos Narrow" w:cs="Arial Nova Cond"/>
                <w:b w:val="0"/>
                <w:bCs w:val="0"/>
                <w:i w:val="0"/>
                <w:iCs w:val="0"/>
                <w:color w:val="auto"/>
                <w:sz w:val="16"/>
                <w:szCs w:val="16"/>
                <w:u w:val="none"/>
              </w:rPr>
            </w:pPr>
            <w:r>
              <w:rPr>
                <w:rFonts w:hint="default" w:ascii="Arial Nova Cond" w:hAnsi="Arial Nova Cond" w:eastAsia="Aptos Narrow" w:cs="Arial Nova Cond"/>
                <w:b w:val="0"/>
                <w:bCs w:val="0"/>
                <w:i w:val="0"/>
                <w:iCs w:val="0"/>
                <w:color w:val="auto"/>
                <w:sz w:val="16"/>
                <w:szCs w:val="16"/>
                <w:u w:val="none"/>
                <w:lang w:val="pt-BR"/>
              </w:rPr>
              <w:t>3</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829474">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55AD8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F55B9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E9C82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02EBC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E6F4F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046A6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6B295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8738C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FF61D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11909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42B75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C6B58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E6095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55ADF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F2C7F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75054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9F281C">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7D44F61">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250</w:t>
            </w:r>
          </w:p>
        </w:tc>
      </w:tr>
      <w:tr w14:paraId="1C962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1BAF7536">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9748694">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4</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7952775">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BD3DE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13B1EC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6BE7C3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6A255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A5ADE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B2A235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1474C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75D01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3D2469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077D8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6BB01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CFA7E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1F4028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7BA73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F8E22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E6BC9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A586C23">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E940503">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250</w:t>
            </w:r>
          </w:p>
        </w:tc>
      </w:tr>
      <w:tr w14:paraId="35C3F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02F2CA61">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68618FC">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5</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0ADB70">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F3383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8F57D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54A44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FF19FB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515A7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49C2CA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7B1C7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DC82B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A70EA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C7921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F27E0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B6F3F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867B48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720E1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2484B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8B013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4A6A27">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7B9AA51">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250</w:t>
            </w:r>
          </w:p>
        </w:tc>
      </w:tr>
      <w:tr w14:paraId="04D98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1E458A42">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32</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1035DC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F0F805">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800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56CBE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1C05D3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46DAB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79CF7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1A2C8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ECB58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8875C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22F159">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75</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0174FE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F8E4F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22845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77E87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BCA43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0C931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E0B20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78098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29D02A4">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6CF08E5">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875</w:t>
            </w:r>
          </w:p>
        </w:tc>
      </w:tr>
      <w:tr w14:paraId="400F6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1DFD3481">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33</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44840E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C19E46">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1B42FB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D7F71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A6233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6BD32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B54B3F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90D60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EBC79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580009">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1B667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A52BC8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FDCF8C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E37AA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3748E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A50D6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0C7E3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A24570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D439ED">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9BFC8EC">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210</w:t>
            </w:r>
          </w:p>
        </w:tc>
      </w:tr>
      <w:tr w14:paraId="640BC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2EA09035">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34</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8EDB5C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803177">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85BC4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C739F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BE022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CFA14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4FA8BD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8B8F4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F5CA26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25CFA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25</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572197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82A0B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F13ADA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D4BCA2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15A8C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B4C02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6BE5C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4FFA53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A7A27C">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F62AB4E">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275</w:t>
            </w:r>
          </w:p>
        </w:tc>
      </w:tr>
      <w:tr w14:paraId="2ADEB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1CE08068">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35</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1EE10F8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E7C1530">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D3462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C0AF3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60847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5D36B2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40260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EBEED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99116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1B302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5F58B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4F598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1549A7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A9F59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41D25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B7800EA">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60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6C28C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6E469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916B9D">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7FC7721">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560</w:t>
            </w:r>
          </w:p>
        </w:tc>
      </w:tr>
      <w:tr w14:paraId="285FC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21361658">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36</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D3E910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6DEDA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D02B8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0A3BE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FC019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4EA9E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AA090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CBB5B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8BFB7E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24E3C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B8596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BE68A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CC2835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62C64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57A23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491178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10662B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E5349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78E87E">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11D2223B">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1500</w:t>
            </w:r>
          </w:p>
        </w:tc>
      </w:tr>
      <w:tr w14:paraId="32600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vMerge w:val="restart"/>
            <w:tcBorders>
              <w:top w:val="single" w:color="000000" w:sz="2" w:space="0"/>
              <w:left w:val="single" w:color="000000" w:sz="2" w:space="0"/>
              <w:bottom w:val="single" w:color="000000" w:sz="2" w:space="0"/>
              <w:right w:val="single" w:color="000000" w:sz="2" w:space="0"/>
            </w:tcBorders>
            <w:shd w:val="clear" w:color="auto" w:fill="911527"/>
            <w:vAlign w:val="center"/>
          </w:tcPr>
          <w:p w14:paraId="6D7CB4E2">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37</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9121E6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CE101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723D7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D9831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5FE19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1A5F0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65F9A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F71B4C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BA53A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76E88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80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8D066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93601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7A1C7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DCFD3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D72E62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CB64C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60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0D859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9BF80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370E88">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136126E">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1640</w:t>
            </w:r>
          </w:p>
        </w:tc>
      </w:tr>
      <w:tr w14:paraId="26BC1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6FD0EF57">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0C0DF1CC">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2</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C34EBE">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3BFF4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62762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4D2D1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70189B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52F0A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680EE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EFFF7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CE43E3">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67545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89B6D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3BE05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7D329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49DBB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7FF72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061B2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F596CE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4153FA4">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345BB4F">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2500</w:t>
            </w:r>
          </w:p>
        </w:tc>
      </w:tr>
      <w:tr w14:paraId="6F956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restart"/>
            <w:tcBorders>
              <w:top w:val="single" w:color="000000" w:sz="2" w:space="0"/>
              <w:left w:val="single" w:color="000000" w:sz="2" w:space="0"/>
              <w:bottom w:val="single" w:color="000000" w:sz="2" w:space="0"/>
              <w:right w:val="single" w:color="000000" w:sz="2" w:space="0"/>
            </w:tcBorders>
            <w:shd w:val="clear" w:color="auto" w:fill="911527"/>
            <w:vAlign w:val="center"/>
          </w:tcPr>
          <w:p w14:paraId="343F85BB">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38</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46DA2F0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FFB593">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EBEE8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A76136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BBD3B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B5B5A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ADA30B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CD4E8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DD5AA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6B708AB">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E62E8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E1CF2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BAAA7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41E491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1E606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F2CED6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7F903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9F6CA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89B733">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8225909">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1700</w:t>
            </w:r>
          </w:p>
        </w:tc>
      </w:tr>
      <w:tr w14:paraId="734C9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22F1F907">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7C1871E0">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2</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665EBDD">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1500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2085C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573E7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A2435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5E990D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EC2BA4">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ACDF75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81C8B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D66D64">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120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CE7A9B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934F1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040C8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DA717D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6A8D2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95B19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4E98B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1E8BC1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EF7A99">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65F6DDAE">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1620</w:t>
            </w:r>
          </w:p>
        </w:tc>
      </w:tr>
      <w:tr w14:paraId="480E4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67" w:type="dxa"/>
            <w:vMerge w:val="continue"/>
            <w:tcBorders>
              <w:top w:val="single" w:color="000000" w:sz="2" w:space="0"/>
              <w:left w:val="single" w:color="000000" w:sz="2" w:space="0"/>
              <w:bottom w:val="single" w:color="000000" w:sz="2" w:space="0"/>
              <w:right w:val="single" w:color="000000" w:sz="2" w:space="0"/>
            </w:tcBorders>
            <w:shd w:val="clear" w:color="auto" w:fill="911527"/>
            <w:vAlign w:val="center"/>
          </w:tcPr>
          <w:p w14:paraId="6A9AB054">
            <w:pPr>
              <w:jc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923D512">
            <w:pPr>
              <w:jc w:val="center"/>
              <w:rPr>
                <w:rFonts w:hint="default" w:ascii="Arial Nova Cond" w:hAnsi="Arial Nova Cond" w:eastAsia="Aptos Narrow" w:cs="Arial Nova Cond"/>
                <w:b w:val="0"/>
                <w:bCs w:val="0"/>
                <w:i w:val="0"/>
                <w:iCs w:val="0"/>
                <w:color w:val="auto"/>
                <w:sz w:val="16"/>
                <w:szCs w:val="16"/>
                <w:u w:val="none"/>
                <w:lang w:val="pt-BR"/>
              </w:rPr>
            </w:pPr>
            <w:r>
              <w:rPr>
                <w:rFonts w:hint="default" w:ascii="Arial Nova Cond" w:hAnsi="Arial Nova Cond" w:eastAsia="Aptos Narrow" w:cs="Arial Nova Cond"/>
                <w:b w:val="0"/>
                <w:bCs w:val="0"/>
                <w:i w:val="0"/>
                <w:iCs w:val="0"/>
                <w:color w:val="auto"/>
                <w:sz w:val="16"/>
                <w:szCs w:val="16"/>
                <w:u w:val="none"/>
                <w:lang w:val="pt-BR"/>
              </w:rPr>
              <w:t>3</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00007B8">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200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2E917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A2D10FC">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A5E1975">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17749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C5B279D">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3766F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48BC6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56CC8C">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50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BB7CD6">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FF456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A34EF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0A525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B1B1F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6C48FB">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993218">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BA0D0A">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E7B1450">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B9E71D4">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250</w:t>
            </w:r>
          </w:p>
        </w:tc>
      </w:tr>
      <w:tr w14:paraId="588AB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67" w:type="dxa"/>
            <w:tcBorders>
              <w:top w:val="single" w:color="000000" w:sz="2" w:space="0"/>
              <w:left w:val="single" w:color="000000" w:sz="2" w:space="0"/>
              <w:bottom w:val="single" w:color="000000" w:sz="2" w:space="0"/>
              <w:right w:val="single" w:color="000000" w:sz="2" w:space="0"/>
            </w:tcBorders>
            <w:shd w:val="clear" w:color="auto" w:fill="911527"/>
            <w:vAlign w:val="center"/>
          </w:tcPr>
          <w:p w14:paraId="04D47FDF">
            <w:pPr>
              <w:keepNext w:val="0"/>
              <w:keepLines w:val="0"/>
              <w:widowControl/>
              <w:suppressLineNumbers w:val="0"/>
              <w:jc w:val="center"/>
              <w:textAlignment w:val="center"/>
              <w:rPr>
                <w:rFonts w:hint="default" w:ascii="Arial Nova Cond" w:hAnsi="Arial Nova Cond" w:eastAsia="Aptos Narrow" w:cs="Arial Nova Cond"/>
                <w:b/>
                <w:bCs/>
                <w:i w:val="0"/>
                <w:iCs w:val="0"/>
                <w:color w:val="FFFFFF" w:themeColor="background1"/>
                <w:sz w:val="16"/>
                <w:szCs w:val="16"/>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6"/>
                <w:szCs w:val="16"/>
                <w:u w:val="none"/>
                <w:lang w:val="en-US" w:eastAsia="zh-CN" w:bidi="ar"/>
                <w14:textFill>
                  <w14:solidFill>
                    <w14:schemeClr w14:val="bg1"/>
                  </w14:solidFill>
                </w14:textFill>
              </w:rPr>
              <w:t>39</w:t>
            </w:r>
          </w:p>
        </w:tc>
        <w:tc>
          <w:tcPr>
            <w:tcW w:w="354"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3439962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auto"/>
                <w:kern w:val="0"/>
                <w:sz w:val="16"/>
                <w:szCs w:val="16"/>
                <w:u w:val="none"/>
                <w:lang w:val="pt-BR" w:eastAsia="zh-CN" w:bidi="ar"/>
              </w:rPr>
            </w:pPr>
            <w:r>
              <w:rPr>
                <w:rFonts w:hint="default" w:ascii="Arial Nova Cond" w:hAnsi="Arial Nova Cond" w:eastAsia="Aptos Narrow" w:cs="Arial Nova Cond"/>
                <w:b w:val="0"/>
                <w:bCs w:val="0"/>
                <w:i w:val="0"/>
                <w:iCs w:val="0"/>
                <w:color w:val="auto"/>
                <w:kern w:val="0"/>
                <w:sz w:val="16"/>
                <w:szCs w:val="16"/>
                <w:u w:val="none"/>
                <w:lang w:val="pt-BR" w:eastAsia="zh-CN" w:bidi="ar"/>
              </w:rPr>
              <w:t>1</w:t>
            </w:r>
          </w:p>
        </w:tc>
        <w:tc>
          <w:tcPr>
            <w:tcW w:w="61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658A75">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16A1FF1">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4222B0">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B07513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D6FCE4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2568E4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3AC507">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3735F9">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07E164A">
            <w:pPr>
              <w:keepNext w:val="0"/>
              <w:keepLines w:val="0"/>
              <w:widowControl/>
              <w:suppressLineNumbers w:val="0"/>
              <w:jc w:val="center"/>
              <w:textAlignment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bCs/>
                <w:i w:val="0"/>
                <w:iCs w:val="0"/>
                <w:color w:val="E13D58"/>
                <w:kern w:val="0"/>
                <w:sz w:val="16"/>
                <w:szCs w:val="16"/>
                <w:u w:val="none"/>
                <w:lang w:val="en-US" w:eastAsia="zh-CN" w:bidi="ar"/>
              </w:rPr>
              <w:t>400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17CA1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AB67AB3">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7E6C4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7B6B6F">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F11C32">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8611A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A5684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DFA32E">
            <w:pPr>
              <w:jc w:val="center"/>
              <w:rPr>
                <w:rFonts w:hint="default" w:ascii="Arial Nova Cond" w:hAnsi="Arial Nova Cond" w:eastAsia="Aptos Narrow" w:cs="Arial Nova Cond"/>
                <w:b/>
                <w:bCs/>
                <w:i w:val="0"/>
                <w:iCs w:val="0"/>
                <w:color w:val="E13D58"/>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45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095111">
            <w:pPr>
              <w:jc w:val="center"/>
              <w:rPr>
                <w:rFonts w:hint="default" w:ascii="Arial Nova Cond" w:hAnsi="Arial Nova Cond" w:eastAsia="Aptos Narrow" w:cs="Arial Nova Cond"/>
                <w:b/>
                <w:bCs/>
                <w:i w:val="0"/>
                <w:iCs w:val="0"/>
                <w:color w:val="0E2841"/>
                <w:sz w:val="16"/>
                <w:szCs w:val="16"/>
                <w:u w:val="none"/>
              </w:rPr>
            </w:pPr>
            <w:r>
              <w:rPr>
                <w:rFonts w:hint="default" w:ascii="Arial Nova Cond" w:hAnsi="Arial Nova Cond" w:eastAsia="Aptos Narrow" w:cs="Arial Nova Cond"/>
                <w:b w:val="0"/>
                <w:bCs w:val="0"/>
                <w:i w:val="0"/>
                <w:iCs w:val="0"/>
                <w:color w:val="auto"/>
                <w:sz w:val="16"/>
                <w:szCs w:val="16"/>
                <w:u w:val="none"/>
                <w:lang w:val="pt-BR"/>
              </w:rPr>
              <w:t>0</w:t>
            </w:r>
          </w:p>
        </w:tc>
        <w:tc>
          <w:tcPr>
            <w:tcW w:w="750" w:type="dxa"/>
            <w:tcBorders>
              <w:top w:val="single" w:color="000000" w:sz="2" w:space="0"/>
              <w:left w:val="single" w:color="000000" w:sz="2" w:space="0"/>
              <w:bottom w:val="single" w:color="000000" w:sz="2" w:space="0"/>
              <w:right w:val="single" w:color="000000" w:sz="2" w:space="0"/>
            </w:tcBorders>
            <w:shd w:val="clear" w:color="auto" w:fill="FBE4E8"/>
            <w:vAlign w:val="center"/>
          </w:tcPr>
          <w:p w14:paraId="2029C4B6">
            <w:pPr>
              <w:keepNext w:val="0"/>
              <w:keepLines w:val="0"/>
              <w:widowControl/>
              <w:suppressLineNumbers w:val="0"/>
              <w:jc w:val="center"/>
              <w:textAlignment w:val="bottom"/>
              <w:rPr>
                <w:rFonts w:hint="default" w:ascii="Arial Nova Cond" w:hAnsi="Arial Nova Cond" w:eastAsia="Aptos Narrow" w:cs="Arial Nova Cond"/>
                <w:b/>
                <w:bCs/>
                <w:i w:val="0"/>
                <w:iCs w:val="0"/>
                <w:color w:val="E13D58"/>
                <w:sz w:val="18"/>
                <w:szCs w:val="18"/>
                <w:u w:val="none"/>
                <w:lang w:val="pt-BR"/>
              </w:rPr>
            </w:pPr>
            <w:r>
              <w:rPr>
                <w:rFonts w:hint="default" w:ascii="Arial Nova Cond" w:hAnsi="Arial Nova Cond" w:eastAsia="Aptos Narrow" w:cs="Arial Nova Cond"/>
                <w:b/>
                <w:bCs/>
                <w:i w:val="0"/>
                <w:iCs w:val="0"/>
                <w:color w:val="E13D58"/>
                <w:kern w:val="0"/>
                <w:sz w:val="18"/>
                <w:szCs w:val="18"/>
                <w:u w:val="none"/>
                <w:lang w:val="en-US" w:eastAsia="zh-CN" w:bidi="ar"/>
              </w:rPr>
              <w:t>4400</w:t>
            </w:r>
          </w:p>
        </w:tc>
      </w:tr>
    </w:tbl>
    <w:p w14:paraId="0DB653BF">
      <w:pPr>
        <w:numPr>
          <w:ilvl w:val="0"/>
          <w:numId w:val="0"/>
        </w:numPr>
        <w:tabs>
          <w:tab w:val="left" w:pos="240"/>
        </w:tabs>
        <w:jc w:val="both"/>
        <w:rPr>
          <w:rFonts w:hint="default" w:ascii="Calibri" w:hAnsi="Calibri"/>
          <w:b w:val="0"/>
          <w:bCs/>
          <w:sz w:val="21"/>
          <w:szCs w:val="21"/>
        </w:rPr>
      </w:pPr>
    </w:p>
    <w:p w14:paraId="6849E02A">
      <w:pPr>
        <w:numPr>
          <w:ilvl w:val="0"/>
          <w:numId w:val="0"/>
        </w:numPr>
        <w:tabs>
          <w:tab w:val="left" w:pos="240"/>
        </w:tabs>
        <w:jc w:val="both"/>
        <w:rPr>
          <w:rFonts w:hint="default" w:ascii="Calibri" w:hAnsi="Calibri"/>
          <w:b w:val="0"/>
          <w:bCs/>
          <w:sz w:val="21"/>
          <w:szCs w:val="21"/>
        </w:rPr>
      </w:pPr>
    </w:p>
    <w:p w14:paraId="18676B76">
      <w:pPr>
        <w:jc w:val="both"/>
        <w:rPr>
          <w:rFonts w:hint="default" w:ascii="Calibri" w:hAnsi="Calibri" w:cs="Calibri"/>
          <w:bCs/>
          <w:sz w:val="21"/>
          <w:szCs w:val="21"/>
          <w:lang w:val="pt-BR"/>
        </w:rPr>
      </w:pPr>
      <w:r>
        <w:rPr>
          <w:rFonts w:ascii="Calibri" w:hAnsi="Calibri" w:eastAsia="MS Mincho" w:cs="Arial"/>
          <w:b/>
          <w:sz w:val="20"/>
          <w:szCs w:val="20"/>
        </w:rPr>
        <w:t>CONDIÇÕES DE PAGAMENTO:</w:t>
      </w:r>
      <w:r>
        <w:rPr>
          <w:rFonts w:ascii="Calibri" w:hAnsi="Calibri" w:eastAsia="MS Mincho" w:cs="Arial"/>
          <w:sz w:val="21"/>
          <w:szCs w:val="21"/>
        </w:rPr>
        <w:t xml:space="preserve"> </w:t>
      </w:r>
      <w:r>
        <w:rPr>
          <w:rFonts w:hint="default" w:ascii="Calibri" w:hAnsi="Calibri" w:eastAsia="Calibri"/>
          <w:sz w:val="21"/>
          <w:szCs w:val="21"/>
          <w:lang w:val="pt-BR"/>
        </w:rPr>
        <w:t>A referida despesa deverá ser paga dentro do 15º dia útil do mês subsequente após o atestado de recebimento e o envio de nota fiscal ao setor responsável.</w:t>
      </w:r>
    </w:p>
    <w:p w14:paraId="07ACFDC8">
      <w:pPr>
        <w:tabs>
          <w:tab w:val="left" w:pos="9639"/>
        </w:tabs>
        <w:spacing w:line="300" w:lineRule="atLeast"/>
        <w:jc w:val="both"/>
        <w:rPr>
          <w:rFonts w:ascii="Calibri" w:hAnsi="Calibri" w:eastAsia="MS Mincho" w:cs="Arial"/>
          <w:sz w:val="21"/>
          <w:szCs w:val="21"/>
        </w:rPr>
      </w:pPr>
    </w:p>
    <w:p w14:paraId="5C65831F">
      <w:pPr>
        <w:tabs>
          <w:tab w:val="left" w:pos="9639"/>
        </w:tabs>
        <w:spacing w:line="300" w:lineRule="atLeast"/>
        <w:jc w:val="both"/>
        <w:rPr>
          <w:rFonts w:ascii="Calibri" w:hAnsi="Calibri" w:eastAsia="MS Mincho" w:cs="Arial"/>
          <w:sz w:val="21"/>
          <w:szCs w:val="21"/>
        </w:rPr>
      </w:pPr>
      <w:r>
        <w:rPr>
          <w:rFonts w:ascii="Calibri" w:hAnsi="Calibri" w:eastAsia="MS Mincho" w:cs="Arial"/>
          <w:sz w:val="21"/>
          <w:szCs w:val="21"/>
        </w:rPr>
        <w:t xml:space="preserve">As Licitantes vencedoras deverão enviar o arquivo XML da NOTA FISCAL ELETRÔNICA para o e-mail: </w:t>
      </w:r>
      <w:r>
        <w:rPr>
          <w:rFonts w:ascii="Calibri" w:hAnsi="Calibri" w:eastAsia="MS Mincho" w:cs="Arial"/>
          <w:sz w:val="21"/>
          <w:szCs w:val="21"/>
        </w:rPr>
        <w:fldChar w:fldCharType="begin"/>
      </w:r>
      <w:r>
        <w:rPr>
          <w:rFonts w:ascii="Calibri" w:hAnsi="Calibri" w:eastAsia="MS Mincho" w:cs="Arial"/>
          <w:sz w:val="21"/>
          <w:szCs w:val="21"/>
        </w:rPr>
        <w:instrText xml:space="preserve"> HYPERLINK "mailto:nfe@leme.sp.gov.br" </w:instrText>
      </w:r>
      <w:r>
        <w:rPr>
          <w:rFonts w:ascii="Calibri" w:hAnsi="Calibri" w:eastAsia="MS Mincho" w:cs="Arial"/>
          <w:sz w:val="21"/>
          <w:szCs w:val="21"/>
        </w:rPr>
        <w:fldChar w:fldCharType="separate"/>
      </w:r>
      <w:r>
        <w:rPr>
          <w:rStyle w:val="13"/>
          <w:rFonts w:ascii="Calibri" w:hAnsi="Calibri" w:eastAsia="MS Mincho" w:cs="Arial"/>
          <w:sz w:val="21"/>
          <w:szCs w:val="21"/>
        </w:rPr>
        <w:t>nfe@leme.sp.gov.br</w:t>
      </w:r>
      <w:r>
        <w:rPr>
          <w:rFonts w:ascii="Calibri" w:hAnsi="Calibri" w:eastAsia="MS Mincho" w:cs="Arial"/>
          <w:sz w:val="21"/>
          <w:szCs w:val="21"/>
        </w:rPr>
        <w:fldChar w:fldCharType="end"/>
      </w:r>
      <w:r>
        <w:rPr>
          <w:rFonts w:ascii="Calibri" w:hAnsi="Calibri" w:eastAsia="MS Mincho" w:cs="Arial"/>
          <w:sz w:val="21"/>
          <w:szCs w:val="21"/>
        </w:rPr>
        <w:t>, onde a nota será analisada pelo sistema VARITUS</w:t>
      </w:r>
    </w:p>
    <w:p w14:paraId="0B1142F2">
      <w:pPr>
        <w:tabs>
          <w:tab w:val="left" w:pos="9639"/>
        </w:tabs>
        <w:spacing w:line="300" w:lineRule="atLeast"/>
        <w:jc w:val="both"/>
        <w:rPr>
          <w:rFonts w:ascii="Calibri" w:hAnsi="Calibri" w:eastAsia="MS Mincho" w:cs="Arial"/>
          <w:sz w:val="21"/>
          <w:szCs w:val="21"/>
        </w:rPr>
      </w:pPr>
    </w:p>
    <w:p w14:paraId="630ADF37">
      <w:pPr>
        <w:tabs>
          <w:tab w:val="left" w:pos="9639"/>
        </w:tabs>
        <w:spacing w:line="300" w:lineRule="atLeast"/>
        <w:jc w:val="both"/>
        <w:rPr>
          <w:rFonts w:ascii="Calibri" w:hAnsi="Calibri" w:eastAsia="MS Mincho" w:cs="Arial"/>
          <w:i/>
          <w:sz w:val="21"/>
          <w:szCs w:val="21"/>
        </w:rPr>
      </w:pPr>
      <w:r>
        <w:rPr>
          <w:rFonts w:ascii="Calibri" w:hAnsi="Calibri" w:eastAsia="MS Mincho" w:cs="Arial"/>
          <w:sz w:val="21"/>
          <w:szCs w:val="21"/>
        </w:rPr>
        <w:t>Todo e qualquer pagamento devido pela CONTRATANTE será efetuado, EXCLUSIVAMENTE, através de depósito em conta corrente, devendo, portanto as licitantes informar banco, agência e nº de conta</w:t>
      </w:r>
      <w:r>
        <w:rPr>
          <w:rFonts w:ascii="Calibri" w:hAnsi="Calibri" w:eastAsia="MS Mincho" w:cs="Arial"/>
          <w:i/>
          <w:sz w:val="21"/>
          <w:szCs w:val="21"/>
        </w:rPr>
        <w:t xml:space="preserve"> em sua proposta</w:t>
      </w:r>
    </w:p>
    <w:p w14:paraId="0DF05EA4">
      <w:pPr>
        <w:jc w:val="both"/>
        <w:rPr>
          <w:rFonts w:ascii="Calibri" w:hAnsi="Calibri" w:eastAsia="MS Mincho" w:cs="Arial"/>
          <w:b/>
          <w:sz w:val="20"/>
          <w:szCs w:val="20"/>
        </w:rPr>
      </w:pPr>
    </w:p>
    <w:p w14:paraId="38D8CC9A">
      <w:pPr>
        <w:jc w:val="both"/>
        <w:rPr>
          <w:rFonts w:ascii="Calibri" w:hAnsi="Calibri" w:eastAsia="MS Mincho" w:cs="Arial"/>
          <w:b/>
          <w:sz w:val="20"/>
          <w:szCs w:val="20"/>
        </w:rPr>
      </w:pPr>
    </w:p>
    <w:p w14:paraId="2EF01671">
      <w:pPr>
        <w:autoSpaceDE w:val="0"/>
        <w:autoSpaceDN w:val="0"/>
        <w:adjustRightInd w:val="0"/>
        <w:rPr>
          <w:rFonts w:hint="default" w:ascii="Calibri" w:hAnsi="Calibri" w:eastAsia="MS Mincho" w:cs="Calibri"/>
          <w:color w:val="000000"/>
          <w:sz w:val="21"/>
          <w:szCs w:val="21"/>
          <w:lang w:val="pt-BR" w:eastAsia="pt-BR" w:bidi="ar-SA"/>
        </w:rPr>
      </w:pPr>
      <w:r>
        <w:rPr>
          <w:rFonts w:hint="default" w:ascii="Calibri" w:hAnsi="Calibri" w:eastAsia="MS Mincho" w:cs="Calibri"/>
          <w:b/>
          <w:bCs/>
          <w:color w:val="000000"/>
          <w:sz w:val="21"/>
          <w:szCs w:val="21"/>
          <w:u w:val="single"/>
          <w:lang w:val="pt-BR" w:eastAsia="pt-BR" w:bidi="ar-SA"/>
        </w:rPr>
        <w:t>DAS AMOSTRAS</w:t>
      </w:r>
      <w:r>
        <w:rPr>
          <w:rFonts w:hint="default" w:ascii="Calibri" w:hAnsi="Calibri" w:eastAsia="MS Mincho" w:cs="Calibri"/>
          <w:b/>
          <w:bCs/>
          <w:color w:val="000000"/>
          <w:sz w:val="21"/>
          <w:szCs w:val="21"/>
          <w:lang w:val="pt-BR" w:eastAsia="pt-BR" w:bidi="ar-SA"/>
        </w:rPr>
        <w:t xml:space="preserve">: </w:t>
      </w:r>
    </w:p>
    <w:p w14:paraId="7A2E1293">
      <w:pPr>
        <w:keepLines/>
        <w:tabs>
          <w:tab w:val="left" w:pos="576"/>
        </w:tabs>
        <w:jc w:val="both"/>
        <w:rPr>
          <w:rFonts w:hint="default" w:ascii="Calibri" w:hAnsi="Calibri" w:eastAsia="MS Mincho" w:cs="Calibri"/>
          <w:i/>
          <w:sz w:val="21"/>
          <w:szCs w:val="21"/>
        </w:rPr>
      </w:pPr>
    </w:p>
    <w:p w14:paraId="1DC973E8">
      <w:pPr>
        <w:autoSpaceDE w:val="0"/>
        <w:autoSpaceDN w:val="0"/>
        <w:adjustRightInd w:val="0"/>
        <w:jc w:val="both"/>
        <w:rPr>
          <w:rFonts w:hint="default" w:ascii="Calibri" w:hAnsi="Calibri" w:eastAsia="MS Mincho"/>
          <w:color w:val="000000"/>
          <w:sz w:val="21"/>
          <w:szCs w:val="21"/>
          <w:lang w:val="pt-BR" w:eastAsia="pt-BR"/>
        </w:rPr>
      </w:pPr>
      <w:r>
        <w:rPr>
          <w:rFonts w:hint="default" w:ascii="Calibri" w:hAnsi="Calibri" w:eastAsia="MS Mincho"/>
          <w:color w:val="000000"/>
          <w:sz w:val="21"/>
          <w:szCs w:val="21"/>
          <w:lang w:val="pt-BR" w:eastAsia="pt-BR"/>
        </w:rPr>
        <w:t xml:space="preserve">O licitante declarado inicialmente vencedor, deverá apresentar,  no prazo de até </w:t>
      </w:r>
      <w:r>
        <w:rPr>
          <w:rFonts w:hint="default" w:ascii="Calibri" w:hAnsi="Calibri" w:eastAsia="MS Mincho"/>
          <w:color w:val="000000"/>
          <w:sz w:val="21"/>
          <w:szCs w:val="21"/>
          <w:lang w:val="en-US" w:eastAsia="pt-BR"/>
        </w:rPr>
        <w:t>03</w:t>
      </w:r>
      <w:r>
        <w:rPr>
          <w:rFonts w:hint="default" w:ascii="Calibri" w:hAnsi="Calibri" w:eastAsia="MS Mincho"/>
          <w:color w:val="000000"/>
          <w:sz w:val="21"/>
          <w:szCs w:val="21"/>
          <w:lang w:val="pt-BR" w:eastAsia="pt-BR"/>
        </w:rPr>
        <w:t>(</w:t>
      </w:r>
      <w:r>
        <w:rPr>
          <w:rFonts w:hint="default" w:ascii="Calibri" w:hAnsi="Calibri" w:eastAsia="MS Mincho"/>
          <w:color w:val="000000"/>
          <w:sz w:val="21"/>
          <w:szCs w:val="21"/>
          <w:lang w:val="en-US" w:eastAsia="pt-BR"/>
        </w:rPr>
        <w:t>três</w:t>
      </w:r>
      <w:r>
        <w:rPr>
          <w:rFonts w:hint="default" w:ascii="Calibri" w:hAnsi="Calibri" w:eastAsia="MS Mincho"/>
          <w:color w:val="000000"/>
          <w:sz w:val="21"/>
          <w:szCs w:val="21"/>
          <w:lang w:val="pt-BR" w:eastAsia="pt-BR"/>
        </w:rPr>
        <w:t xml:space="preserve">) dias úteis, após o julgamento das propostas, </w:t>
      </w:r>
      <w:r>
        <w:rPr>
          <w:rFonts w:hint="default" w:ascii="Calibri" w:hAnsi="Calibri" w:eastAsia="MS Mincho"/>
          <w:b/>
          <w:bCs/>
          <w:color w:val="000000"/>
          <w:sz w:val="21"/>
          <w:szCs w:val="21"/>
          <w:lang w:val="pt-BR" w:eastAsia="pt-BR"/>
        </w:rPr>
        <w:t xml:space="preserve">01 AMOSTRA </w:t>
      </w:r>
      <w:r>
        <w:rPr>
          <w:rFonts w:hint="default" w:ascii="Calibri" w:hAnsi="Calibri" w:eastAsia="MS Mincho"/>
          <w:b/>
          <w:bCs/>
          <w:color w:val="000000"/>
          <w:sz w:val="21"/>
          <w:szCs w:val="21"/>
          <w:lang w:val="en-US" w:eastAsia="pt-BR"/>
        </w:rPr>
        <w:t xml:space="preserve">para CADA LOTE/ITEM EXCETO PARA O LOTE 16 </w:t>
      </w:r>
      <w:r>
        <w:rPr>
          <w:rFonts w:hint="default" w:ascii="Calibri" w:hAnsi="Calibri" w:eastAsia="MS Mincho"/>
          <w:color w:val="000000"/>
          <w:sz w:val="21"/>
          <w:szCs w:val="21"/>
          <w:lang w:val="en-US" w:eastAsia="pt-BR"/>
        </w:rPr>
        <w:t>(Ovos Brancos de Galinha)</w:t>
      </w:r>
      <w:r>
        <w:rPr>
          <w:rFonts w:hint="default" w:ascii="Calibri" w:hAnsi="Calibri" w:eastAsia="MS Mincho"/>
          <w:color w:val="000000"/>
          <w:sz w:val="21"/>
          <w:szCs w:val="21"/>
          <w:lang w:val="pt-BR" w:eastAsia="pt-BR"/>
        </w:rPr>
        <w:t xml:space="preserve"> </w:t>
      </w:r>
      <w:r>
        <w:rPr>
          <w:rFonts w:hint="default" w:ascii="Calibri" w:hAnsi="Calibri" w:eastAsia="MS Mincho"/>
          <w:color w:val="000000"/>
          <w:sz w:val="21"/>
          <w:szCs w:val="21"/>
          <w:lang w:val="en-US" w:eastAsia="pt-BR"/>
        </w:rPr>
        <w:t>em que sagrar-se vencedora</w:t>
      </w:r>
      <w:r>
        <w:rPr>
          <w:rFonts w:hint="default" w:ascii="Calibri" w:hAnsi="Calibri" w:eastAsia="MS Mincho"/>
          <w:color w:val="000000"/>
          <w:sz w:val="21"/>
          <w:szCs w:val="21"/>
          <w:lang w:val="pt-BR" w:eastAsia="pt-BR"/>
        </w:rPr>
        <w:t xml:space="preserve"> para análise quanto à conformidade com as solicitações  do anexo I.</w:t>
      </w:r>
    </w:p>
    <w:p w14:paraId="5CB23C20">
      <w:pPr>
        <w:autoSpaceDE w:val="0"/>
        <w:autoSpaceDN w:val="0"/>
        <w:adjustRightInd w:val="0"/>
        <w:jc w:val="both"/>
        <w:rPr>
          <w:rFonts w:hint="default" w:ascii="Calibri" w:hAnsi="Calibri" w:eastAsia="MS Mincho"/>
          <w:color w:val="000000"/>
          <w:sz w:val="21"/>
          <w:szCs w:val="21"/>
          <w:lang w:val="pt-BR" w:eastAsia="pt-BR"/>
        </w:rPr>
      </w:pPr>
    </w:p>
    <w:p w14:paraId="781B6844">
      <w:pPr>
        <w:autoSpaceDE w:val="0"/>
        <w:autoSpaceDN w:val="0"/>
        <w:adjustRightInd w:val="0"/>
        <w:jc w:val="both"/>
        <w:rPr>
          <w:rFonts w:hint="default" w:ascii="Calibri" w:hAnsi="Calibri" w:eastAsia="MS Mincho"/>
          <w:color w:val="000000"/>
          <w:sz w:val="21"/>
          <w:szCs w:val="21"/>
          <w:lang w:val="pt-BR" w:eastAsia="pt-BR"/>
        </w:rPr>
      </w:pPr>
      <w:r>
        <w:rPr>
          <w:rFonts w:hint="default" w:ascii="Calibri" w:hAnsi="Calibri" w:eastAsia="MS Mincho"/>
          <w:color w:val="000000"/>
          <w:sz w:val="21"/>
          <w:szCs w:val="21"/>
          <w:lang w:val="pt-BR" w:eastAsia="pt-BR"/>
        </w:rPr>
        <w:t xml:space="preserve">As amostras deverão </w:t>
      </w:r>
      <w:r>
        <w:rPr>
          <w:rFonts w:hint="default" w:ascii="Calibri" w:hAnsi="Calibri" w:eastAsia="MS Mincho"/>
          <w:b/>
          <w:bCs/>
          <w:color w:val="000000"/>
          <w:sz w:val="21"/>
          <w:szCs w:val="21"/>
          <w:highlight w:val="cyan"/>
          <w:lang w:val="pt-BR" w:eastAsia="pt-BR"/>
        </w:rPr>
        <w:t>estar separadas e IDENTIFICADAS com o número do lote</w:t>
      </w:r>
      <w:r>
        <w:rPr>
          <w:rFonts w:hint="default" w:ascii="Calibri" w:hAnsi="Calibri" w:eastAsia="MS Mincho"/>
          <w:b/>
          <w:bCs/>
          <w:color w:val="000000"/>
          <w:sz w:val="21"/>
          <w:szCs w:val="21"/>
          <w:highlight w:val="cyan"/>
          <w:lang w:val="en-US" w:eastAsia="pt-BR"/>
        </w:rPr>
        <w:t xml:space="preserve">, </w:t>
      </w:r>
      <w:r>
        <w:rPr>
          <w:rFonts w:hint="default" w:ascii="Calibri" w:hAnsi="Calibri" w:eastAsia="MS Mincho"/>
          <w:b/>
          <w:bCs/>
          <w:color w:val="000000"/>
          <w:sz w:val="21"/>
          <w:szCs w:val="21"/>
          <w:highlight w:val="cyan"/>
          <w:lang w:val="pt-BR" w:eastAsia="pt-BR"/>
        </w:rPr>
        <w:t>item</w:t>
      </w:r>
      <w:r>
        <w:rPr>
          <w:rFonts w:hint="default" w:ascii="Calibri" w:hAnsi="Calibri" w:eastAsia="MS Mincho"/>
          <w:color w:val="000000"/>
          <w:sz w:val="21"/>
          <w:szCs w:val="21"/>
          <w:lang w:val="pt-BR" w:eastAsia="pt-BR"/>
        </w:rPr>
        <w:t xml:space="preserve"> , razão social e CNPJ da licitante.</w:t>
      </w:r>
    </w:p>
    <w:p w14:paraId="18071840">
      <w:pPr>
        <w:autoSpaceDE w:val="0"/>
        <w:autoSpaceDN w:val="0"/>
        <w:adjustRightInd w:val="0"/>
        <w:jc w:val="both"/>
        <w:rPr>
          <w:rFonts w:hint="default" w:ascii="Calibri" w:hAnsi="Calibri" w:eastAsia="MS Mincho"/>
          <w:color w:val="000000"/>
          <w:sz w:val="21"/>
          <w:szCs w:val="21"/>
          <w:lang w:val="pt-BR" w:eastAsia="pt-BR"/>
        </w:rPr>
      </w:pPr>
    </w:p>
    <w:p w14:paraId="0A0C336B">
      <w:pPr>
        <w:autoSpaceDE w:val="0"/>
        <w:autoSpaceDN w:val="0"/>
        <w:adjustRightInd w:val="0"/>
        <w:jc w:val="both"/>
        <w:rPr>
          <w:rFonts w:hint="default" w:ascii="Calibri" w:hAnsi="Calibri" w:eastAsia="MS Mincho"/>
          <w:color w:val="000000"/>
          <w:sz w:val="21"/>
          <w:szCs w:val="21"/>
          <w:lang w:val="pt-BR" w:eastAsia="pt-BR"/>
        </w:rPr>
      </w:pPr>
      <w:r>
        <w:rPr>
          <w:rFonts w:hint="default" w:ascii="Calibri" w:hAnsi="Calibri" w:eastAsia="MS Mincho"/>
          <w:color w:val="000000"/>
          <w:sz w:val="21"/>
          <w:szCs w:val="21"/>
          <w:lang w:val="pt-BR" w:eastAsia="pt-BR"/>
        </w:rPr>
        <w:t xml:space="preserve">As amostras ficarão retidas para conferência e </w:t>
      </w:r>
      <w:r>
        <w:rPr>
          <w:rFonts w:hint="default" w:ascii="Calibri" w:hAnsi="Calibri" w:eastAsia="MS Mincho"/>
          <w:color w:val="000000"/>
          <w:sz w:val="21"/>
          <w:szCs w:val="21"/>
          <w:u w:val="single"/>
          <w:lang w:val="pt-BR" w:eastAsia="pt-BR"/>
        </w:rPr>
        <w:t>não serão consideradas como parte da entrega</w:t>
      </w:r>
      <w:r>
        <w:rPr>
          <w:rFonts w:hint="default" w:ascii="Calibri" w:hAnsi="Calibri" w:eastAsia="MS Mincho"/>
          <w:color w:val="000000"/>
          <w:sz w:val="21"/>
          <w:szCs w:val="21"/>
          <w:lang w:val="pt-BR" w:eastAsia="pt-BR"/>
        </w:rPr>
        <w:t>.</w:t>
      </w:r>
    </w:p>
    <w:p w14:paraId="1E80327D">
      <w:pPr>
        <w:autoSpaceDE w:val="0"/>
        <w:autoSpaceDN w:val="0"/>
        <w:adjustRightInd w:val="0"/>
        <w:jc w:val="both"/>
        <w:rPr>
          <w:rFonts w:hint="default" w:ascii="Calibri" w:hAnsi="Calibri" w:eastAsia="MS Mincho"/>
          <w:color w:val="000000"/>
          <w:sz w:val="21"/>
          <w:szCs w:val="21"/>
          <w:lang w:val="pt-BR" w:eastAsia="pt-BR"/>
        </w:rPr>
      </w:pPr>
    </w:p>
    <w:p w14:paraId="70A36CDB">
      <w:pPr>
        <w:autoSpaceDE w:val="0"/>
        <w:autoSpaceDN w:val="0"/>
        <w:adjustRightInd w:val="0"/>
        <w:jc w:val="both"/>
        <w:rPr>
          <w:rFonts w:hint="default" w:ascii="Calibri" w:hAnsi="Calibri" w:eastAsia="MS Mincho" w:cs="Calibri"/>
          <w:color w:val="000000"/>
          <w:sz w:val="21"/>
          <w:szCs w:val="21"/>
          <w:lang w:val="pt-BR" w:eastAsia="pt-BR" w:bidi="ar-SA"/>
        </w:rPr>
      </w:pPr>
      <w:r>
        <w:rPr>
          <w:rFonts w:ascii="Calibri" w:hAnsi="Calibri" w:eastAsia="Times New Roman" w:cs="Times New Roman"/>
          <w:sz w:val="21"/>
          <w:szCs w:val="21"/>
        </w:rPr>
        <w:t>As amostras deverão ser entregues no</w:t>
      </w:r>
      <w:r>
        <w:rPr>
          <w:rFonts w:hint="default" w:ascii="Calibri" w:hAnsi="Calibri" w:eastAsia="Times New Roman" w:cs="Times New Roman"/>
          <w:sz w:val="21"/>
          <w:szCs w:val="21"/>
          <w:lang w:val="pt-BR"/>
        </w:rPr>
        <w:t xml:space="preserve"> </w:t>
      </w:r>
      <w:r>
        <w:rPr>
          <w:rFonts w:hint="default" w:ascii="Calibri" w:hAnsi="Calibri" w:eastAsia="SimSun" w:cs="Calibri"/>
          <w:sz w:val="21"/>
          <w:szCs w:val="21"/>
          <w:u w:val="single"/>
          <w:lang w:val="pt-BR"/>
        </w:rPr>
        <w:t>Departamento de Licitações e Compras da Prefeitura - R. Dr. Armando Salles de Oliveira, 1.085 - 3º andar - centro - Leme/SP, no horário de expediente.</w:t>
      </w:r>
    </w:p>
    <w:p w14:paraId="578F79EB">
      <w:pPr>
        <w:autoSpaceDE w:val="0"/>
        <w:autoSpaceDN w:val="0"/>
        <w:adjustRightInd w:val="0"/>
        <w:jc w:val="both"/>
        <w:rPr>
          <w:rFonts w:hint="default" w:ascii="Calibri" w:hAnsi="Calibri" w:eastAsia="MS Mincho"/>
          <w:color w:val="000000"/>
          <w:sz w:val="21"/>
          <w:szCs w:val="21"/>
          <w:lang w:val="pt-BR" w:eastAsia="pt-BR"/>
        </w:rPr>
      </w:pPr>
    </w:p>
    <w:p w14:paraId="78BCD682">
      <w:pPr>
        <w:autoSpaceDE w:val="0"/>
        <w:autoSpaceDN w:val="0"/>
        <w:adjustRightInd w:val="0"/>
        <w:jc w:val="both"/>
        <w:rPr>
          <w:rFonts w:hint="default" w:ascii="Calibri" w:hAnsi="Calibri" w:eastAsia="MS Mincho"/>
          <w:color w:val="000000"/>
          <w:sz w:val="21"/>
          <w:szCs w:val="21"/>
          <w:lang w:val="pt-BR" w:eastAsia="pt-BR"/>
        </w:rPr>
      </w:pPr>
      <w:r>
        <w:rPr>
          <w:rFonts w:hint="default" w:ascii="Calibri" w:hAnsi="Calibri" w:eastAsia="MS Mincho"/>
          <w:color w:val="000000"/>
          <w:sz w:val="21"/>
          <w:szCs w:val="21"/>
          <w:lang w:val="pt-BR" w:eastAsia="pt-BR"/>
        </w:rPr>
        <w:t>A não apresentação das amostras no prazo retro, ou sua não aprovação frente as exigências do edital, importará na desclassificação da licitante com o prosseguimento dos autos para análise da proposta subsequente, e assim por diante, até aprovação.</w:t>
      </w:r>
    </w:p>
    <w:p w14:paraId="2DB77512">
      <w:pPr>
        <w:autoSpaceDE w:val="0"/>
        <w:autoSpaceDN w:val="0"/>
        <w:adjustRightInd w:val="0"/>
        <w:jc w:val="both"/>
        <w:rPr>
          <w:rFonts w:hint="default" w:ascii="Calibri" w:hAnsi="Calibri" w:eastAsia="MS Mincho"/>
          <w:color w:val="000000"/>
          <w:sz w:val="21"/>
          <w:szCs w:val="21"/>
          <w:lang w:val="pt-BR" w:eastAsia="pt-BR"/>
        </w:rPr>
      </w:pPr>
    </w:p>
    <w:p w14:paraId="743FEB28">
      <w:pPr>
        <w:autoSpaceDE w:val="0"/>
        <w:autoSpaceDN w:val="0"/>
        <w:adjustRightInd w:val="0"/>
        <w:jc w:val="both"/>
        <w:rPr>
          <w:rFonts w:hint="default" w:ascii="Calibri" w:hAnsi="Calibri" w:eastAsia="MS Mincho" w:cs="Calibri"/>
          <w:color w:val="000000"/>
          <w:sz w:val="21"/>
          <w:szCs w:val="21"/>
          <w:lang w:val="pt-BR" w:eastAsia="pt-BR" w:bidi="ar-SA"/>
        </w:rPr>
      </w:pPr>
      <w:r>
        <w:rPr>
          <w:rFonts w:hint="default" w:ascii="Calibri" w:hAnsi="Calibri" w:eastAsia="MS Mincho"/>
          <w:color w:val="000000"/>
          <w:sz w:val="21"/>
          <w:szCs w:val="21"/>
          <w:lang w:val="pt-BR" w:eastAsia="pt-BR"/>
        </w:rPr>
        <w:t>Aprovada(s) a(s) amostra(s), o processo seguirá para fase de habilitação, e seguintes:</w:t>
      </w:r>
    </w:p>
    <w:p w14:paraId="6DA1CB07">
      <w:pPr>
        <w:autoSpaceDE w:val="0"/>
        <w:autoSpaceDN w:val="0"/>
        <w:adjustRightInd w:val="0"/>
        <w:jc w:val="both"/>
        <w:rPr>
          <w:rFonts w:ascii="Calibri" w:hAnsi="Calibri" w:eastAsia="Times New Roman" w:cs="Times New Roman"/>
          <w:sz w:val="21"/>
          <w:szCs w:val="21"/>
        </w:rPr>
      </w:pPr>
    </w:p>
    <w:p w14:paraId="02E7124E">
      <w:pPr>
        <w:keepLines/>
        <w:tabs>
          <w:tab w:val="left" w:pos="576"/>
        </w:tabs>
        <w:jc w:val="center"/>
        <w:rPr>
          <w:rFonts w:hint="default" w:ascii="Calibri" w:hAnsi="Calibri" w:eastAsia="MS Mincho" w:cs="Calibri"/>
          <w:b/>
          <w:sz w:val="21"/>
          <w:szCs w:val="21"/>
          <w:u w:val="single"/>
        </w:rPr>
      </w:pPr>
      <w:r>
        <w:rPr>
          <w:rFonts w:hint="default" w:ascii="Calibri" w:hAnsi="Calibri" w:eastAsia="MS Mincho" w:cs="Calibri"/>
          <w:b/>
          <w:sz w:val="21"/>
          <w:szCs w:val="21"/>
          <w:highlight w:val="yellow"/>
          <w:u w:val="single"/>
        </w:rPr>
        <w:t>As amostras ficarão retidas para conferência e não serão consideradas como parte da entrega</w:t>
      </w:r>
      <w:r>
        <w:rPr>
          <w:rFonts w:hint="default" w:ascii="Calibri" w:hAnsi="Calibri" w:eastAsia="MS Mincho" w:cs="Calibri"/>
          <w:b/>
          <w:sz w:val="21"/>
          <w:szCs w:val="21"/>
          <w:u w:val="single"/>
        </w:rPr>
        <w:t>.</w:t>
      </w:r>
    </w:p>
    <w:p w14:paraId="576B374A">
      <w:pPr>
        <w:keepLines/>
        <w:tabs>
          <w:tab w:val="left" w:pos="576"/>
        </w:tabs>
        <w:jc w:val="both"/>
        <w:rPr>
          <w:rFonts w:hint="default" w:ascii="Calibri" w:hAnsi="Calibri" w:eastAsia="MS Mincho" w:cs="Calibri"/>
          <w:b/>
          <w:sz w:val="21"/>
          <w:szCs w:val="21"/>
          <w:u w:val="single"/>
        </w:rPr>
      </w:pPr>
    </w:p>
    <w:p w14:paraId="4AEBBA6B">
      <w:pPr>
        <w:jc w:val="both"/>
        <w:rPr>
          <w:rFonts w:hint="default" w:ascii="Calibri" w:hAnsi="Calibri" w:cs="Calibri"/>
          <w:b/>
          <w:sz w:val="21"/>
          <w:szCs w:val="21"/>
        </w:rPr>
      </w:pPr>
    </w:p>
    <w:p w14:paraId="131C03D0">
      <w:pPr>
        <w:jc w:val="both"/>
        <w:rPr>
          <w:rFonts w:hint="default" w:ascii="Calibri" w:hAnsi="Calibri" w:cs="Calibri"/>
          <w:b/>
          <w:sz w:val="21"/>
          <w:szCs w:val="21"/>
        </w:rPr>
      </w:pPr>
    </w:p>
    <w:p w14:paraId="7697322F">
      <w:pPr>
        <w:jc w:val="both"/>
        <w:rPr>
          <w:rFonts w:hint="default" w:ascii="Calibri" w:hAnsi="Calibri" w:cs="Calibri"/>
          <w:b/>
          <w:sz w:val="21"/>
          <w:szCs w:val="21"/>
          <w:lang w:val="pt-BR"/>
        </w:rPr>
      </w:pPr>
      <w:r>
        <w:rPr>
          <w:rFonts w:hint="default" w:ascii="Calibri" w:hAnsi="Calibri" w:cs="Calibri"/>
          <w:b/>
          <w:sz w:val="21"/>
          <w:szCs w:val="21"/>
        </w:rPr>
        <w:t>AGENTE FISCALIZADOR</w:t>
      </w:r>
      <w:r>
        <w:rPr>
          <w:rFonts w:hint="default" w:ascii="Calibri" w:hAnsi="Calibri" w:cs="Calibri"/>
          <w:b/>
          <w:sz w:val="21"/>
          <w:szCs w:val="21"/>
          <w:lang w:val="pt-BR"/>
        </w:rPr>
        <w:t xml:space="preserve"> DAS CONTRATAÇÕES SECRETARIA DE ASSISTÊNCIA E DESEVOLVIMENTO SOCIAL:</w:t>
      </w:r>
    </w:p>
    <w:p w14:paraId="7BAA9EDA">
      <w:pPr>
        <w:jc w:val="both"/>
        <w:rPr>
          <w:rFonts w:hint="default" w:ascii="Calibri" w:hAnsi="Calibri" w:cs="Calibri"/>
          <w:b/>
          <w:sz w:val="21"/>
          <w:szCs w:val="21"/>
          <w:lang w:val="pt-BR"/>
        </w:rPr>
      </w:pPr>
    </w:p>
    <w:p w14:paraId="4AD62525">
      <w:pPr>
        <w:jc w:val="both"/>
        <w:rPr>
          <w:rStyle w:val="9"/>
          <w:rFonts w:hint="default" w:ascii="Calibri" w:hAnsi="Calibri" w:cs="Calibri"/>
          <w:b w:val="0"/>
          <w:bCs w:val="0"/>
          <w:sz w:val="21"/>
          <w:szCs w:val="21"/>
        </w:rPr>
      </w:pPr>
      <w:r>
        <w:rPr>
          <w:rFonts w:hint="default" w:ascii="Calibri" w:hAnsi="Calibri" w:eastAsia="CIDFont + F5" w:cs="Calibri"/>
          <w:b w:val="0"/>
          <w:bCs w:val="0"/>
          <w:color w:val="000000"/>
          <w:sz w:val="21"/>
          <w:szCs w:val="21"/>
          <w:lang w:val="pt-BR" w:bidi="ar"/>
        </w:rPr>
        <w:t>Débora Cristina da Costa</w:t>
      </w:r>
      <w:r>
        <w:rPr>
          <w:rStyle w:val="9"/>
          <w:rFonts w:hint="default" w:ascii="Calibri" w:hAnsi="Calibri" w:cs="Calibri"/>
          <w:b w:val="0"/>
          <w:bCs w:val="0"/>
          <w:sz w:val="21"/>
          <w:szCs w:val="21"/>
        </w:rPr>
        <w:t xml:space="preserve"> </w:t>
      </w:r>
    </w:p>
    <w:p w14:paraId="5E7F0DCD">
      <w:pPr>
        <w:jc w:val="both"/>
        <w:rPr>
          <w:rFonts w:hint="default" w:ascii="Calibri" w:hAnsi="Calibri" w:eastAsia="CIDFont + F5" w:cs="Calibri"/>
          <w:color w:val="000000" w:themeColor="text1" w:themeTint="FF"/>
          <w:sz w:val="21"/>
          <w:szCs w:val="21"/>
          <w:lang w:val="pt-BR" w:bidi="ar"/>
          <w14:textFill>
            <w14:solidFill>
              <w14:schemeClr w14:val="tx1">
                <w14:lumMod w14:val="100000"/>
                <w14:lumOff w14:val="0"/>
              </w14:schemeClr>
            </w14:solidFill>
          </w14:textFill>
        </w:rPr>
      </w:pPr>
      <w:r>
        <w:rPr>
          <w:rFonts w:hint="default" w:ascii="Calibri" w:hAnsi="Calibri" w:eastAsia="CIDFont + F5" w:cs="Calibri"/>
          <w:color w:val="000000" w:themeColor="text1" w:themeTint="FF"/>
          <w:sz w:val="21"/>
          <w:szCs w:val="21"/>
          <w:lang w:val="pt-BR" w:bidi="ar"/>
          <w14:textFill>
            <w14:solidFill>
              <w14:schemeClr w14:val="tx1">
                <w14:lumMod w14:val="100000"/>
                <w14:lumOff w14:val="0"/>
              </w14:schemeClr>
            </w14:solidFill>
          </w14:textFill>
        </w:rPr>
        <w:t>Agente de Serviços Públicos</w:t>
      </w:r>
    </w:p>
    <w:p w14:paraId="4CA696AF">
      <w:pPr>
        <w:ind w:left="3540" w:leftChars="0" w:firstLine="708" w:firstLineChars="0"/>
        <w:jc w:val="both"/>
        <w:rPr>
          <w:rFonts w:hint="default" w:ascii="Calibri" w:hAnsi="Calibri" w:eastAsia="CIDFont + F5" w:cs="Calibri"/>
          <w:color w:val="000000" w:themeColor="text1" w:themeTint="FF"/>
          <w:sz w:val="21"/>
          <w:szCs w:val="21"/>
          <w:lang w:val="pt-BR" w:bidi="ar"/>
          <w14:textFill>
            <w14:solidFill>
              <w14:schemeClr w14:val="tx1">
                <w14:lumMod w14:val="100000"/>
                <w14:lumOff w14:val="0"/>
              </w14:schemeClr>
            </w14:solidFill>
          </w14:textFill>
        </w:rPr>
      </w:pPr>
    </w:p>
    <w:p w14:paraId="7E980C75">
      <w:pPr>
        <w:bidi w:val="0"/>
        <w:jc w:val="both"/>
        <w:rPr>
          <w:rFonts w:hint="default" w:ascii="Calibri" w:hAnsi="Calibri" w:cs="Calibri"/>
          <w:b w:val="0"/>
          <w:bCs w:val="0"/>
          <w:sz w:val="21"/>
          <w:szCs w:val="21"/>
        </w:rPr>
      </w:pPr>
      <w:r>
        <w:rPr>
          <w:rFonts w:hint="default" w:ascii="Calibri" w:hAnsi="Calibri" w:eastAsia="CIDFont + F5" w:cs="Calibri"/>
          <w:color w:val="000000" w:themeColor="text1" w:themeTint="FF"/>
          <w:sz w:val="21"/>
          <w:szCs w:val="21"/>
          <w:lang w:val="pt-BR" w:bidi="ar"/>
          <w14:textFill>
            <w14:solidFill>
              <w14:schemeClr w14:val="tx1">
                <w14:lumMod w14:val="100000"/>
                <w14:lumOff w14:val="0"/>
              </w14:schemeClr>
            </w14:solidFill>
          </w14:textFill>
        </w:rPr>
        <w:t xml:space="preserve">Demais secretarias </w:t>
      </w:r>
      <w:r>
        <w:rPr>
          <w:rFonts w:hint="default" w:ascii="Calibri" w:hAnsi="Calibri"/>
          <w:b w:val="0"/>
          <w:bCs w:val="0"/>
          <w:sz w:val="21"/>
          <w:szCs w:val="21"/>
        </w:rPr>
        <w:t>serão indicados e constarão nos documentos de contratação.</w:t>
      </w:r>
    </w:p>
    <w:p w14:paraId="5C517205">
      <w:pPr>
        <w:jc w:val="center"/>
        <w:rPr>
          <w:rFonts w:ascii="Arial" w:hAnsi="Arial" w:cs="Arial"/>
          <w:sz w:val="18"/>
          <w:szCs w:val="18"/>
        </w:rPr>
      </w:pPr>
    </w:p>
    <w:p w14:paraId="44BA9822">
      <w:pPr>
        <w:widowControl/>
        <w:suppressAutoHyphens/>
        <w:bidi w:val="0"/>
        <w:spacing w:before="0" w:after="0" w:line="240" w:lineRule="auto"/>
        <w:ind w:left="0" w:right="0" w:firstLine="0"/>
        <w:jc w:val="both"/>
        <w:rPr>
          <w:rFonts w:hint="default" w:ascii="Calibri" w:hAnsi="Calibri" w:cs="Calibri"/>
          <w:color w:val="000000"/>
          <w:sz w:val="21"/>
          <w:szCs w:val="21"/>
          <w:shd w:val="clear" w:fill="FFFFFF"/>
          <w:lang w:val="pt-BR"/>
        </w:rPr>
      </w:pPr>
    </w:p>
    <w:p w14:paraId="7C760CCB">
      <w:pPr>
        <w:widowControl/>
        <w:suppressAutoHyphens/>
        <w:bidi w:val="0"/>
        <w:spacing w:before="0" w:after="0" w:line="240" w:lineRule="auto"/>
        <w:ind w:left="0" w:right="0" w:firstLine="0"/>
        <w:jc w:val="both"/>
        <w:rPr>
          <w:rFonts w:hint="default" w:ascii="Calibri" w:hAnsi="Calibri" w:cs="Calibri"/>
          <w:color w:val="000000"/>
          <w:sz w:val="21"/>
          <w:szCs w:val="21"/>
          <w:shd w:val="clear" w:fill="FFFFFF"/>
          <w:lang w:val="pt-BR"/>
        </w:rPr>
      </w:pPr>
    </w:p>
    <w:p w14:paraId="3178A51D">
      <w:pPr>
        <w:jc w:val="center"/>
        <w:rPr>
          <w:rFonts w:hint="default" w:ascii="Arial" w:hAnsi="Arial" w:cs="Arial"/>
          <w:sz w:val="18"/>
          <w:szCs w:val="18"/>
          <w:lang w:val="pt-BR"/>
        </w:rPr>
      </w:pPr>
      <w:r>
        <w:rPr>
          <w:rFonts w:ascii="Arial" w:hAnsi="Arial" w:cs="Arial"/>
          <w:sz w:val="18"/>
          <w:szCs w:val="18"/>
        </w:rPr>
        <w:t>L</w:t>
      </w:r>
      <w:r>
        <w:rPr>
          <w:rFonts w:hint="default" w:ascii="Arial" w:hAnsi="Arial" w:cs="Arial"/>
          <w:sz w:val="18"/>
          <w:szCs w:val="18"/>
          <w:lang w:val="pt-BR"/>
        </w:rPr>
        <w:t>eme</w:t>
      </w:r>
      <w:r>
        <w:rPr>
          <w:rFonts w:ascii="Arial" w:hAnsi="Arial" w:cs="Arial"/>
          <w:sz w:val="18"/>
          <w:szCs w:val="18"/>
        </w:rPr>
        <w:t xml:space="preserve">, </w:t>
      </w:r>
      <w:r>
        <w:rPr>
          <w:rFonts w:hint="default" w:ascii="Arial" w:hAnsi="Arial" w:cs="Arial"/>
          <w:sz w:val="18"/>
          <w:szCs w:val="18"/>
          <w:lang w:val="pt-BR"/>
        </w:rPr>
        <w:t>06</w:t>
      </w:r>
      <w:r>
        <w:rPr>
          <w:rFonts w:ascii="Arial" w:hAnsi="Arial" w:cs="Arial"/>
          <w:sz w:val="18"/>
          <w:szCs w:val="18"/>
        </w:rPr>
        <w:t xml:space="preserve"> </w:t>
      </w:r>
      <w:r>
        <w:rPr>
          <w:rFonts w:hint="default" w:ascii="Arial" w:hAnsi="Arial" w:cs="Arial"/>
          <w:sz w:val="18"/>
          <w:szCs w:val="18"/>
          <w:lang w:val="pt-BR"/>
        </w:rPr>
        <w:t>de fevereiro de 2025</w:t>
      </w:r>
    </w:p>
    <w:p w14:paraId="321F4C97">
      <w:pPr>
        <w:jc w:val="both"/>
        <w:rPr>
          <w:rFonts w:ascii="Arial" w:hAnsi="Arial" w:cs="Arial"/>
          <w:sz w:val="18"/>
          <w:szCs w:val="18"/>
        </w:rPr>
      </w:pPr>
    </w:p>
    <w:p w14:paraId="07F19A26">
      <w:pPr>
        <w:jc w:val="both"/>
        <w:rPr>
          <w:rFonts w:ascii="Arial" w:hAnsi="Arial" w:cs="Arial"/>
          <w:sz w:val="18"/>
          <w:szCs w:val="18"/>
        </w:rPr>
      </w:pPr>
    </w:p>
    <w:p w14:paraId="7CA9BA0A">
      <w:pPr>
        <w:jc w:val="both"/>
        <w:rPr>
          <w:rFonts w:ascii="Arial" w:hAnsi="Arial" w:cs="Arial"/>
          <w:sz w:val="18"/>
          <w:szCs w:val="18"/>
        </w:rPr>
      </w:pPr>
    </w:p>
    <w:p w14:paraId="07163147">
      <w:pPr>
        <w:jc w:val="both"/>
        <w:rPr>
          <w:rFonts w:ascii="Arial" w:hAnsi="Arial" w:cs="Arial"/>
          <w:sz w:val="18"/>
          <w:szCs w:val="18"/>
        </w:rPr>
      </w:pPr>
    </w:p>
    <w:p w14:paraId="1963D53A">
      <w:pPr>
        <w:pStyle w:val="131"/>
        <w:widowControl/>
        <w:spacing w:line="300" w:lineRule="atLeast"/>
        <w:jc w:val="center"/>
        <w:rPr>
          <w:rFonts w:hint="default" w:ascii="Calibri" w:hAnsi="Calibri"/>
          <w:b/>
          <w:bCs/>
          <w:sz w:val="20"/>
          <w:szCs w:val="20"/>
          <w:lang w:val="pt-BR"/>
        </w:rPr>
      </w:pPr>
      <w:r>
        <w:rPr>
          <w:rFonts w:hint="default" w:ascii="Calibri" w:hAnsi="Calibri"/>
          <w:b/>
          <w:bCs/>
          <w:sz w:val="20"/>
          <w:szCs w:val="20"/>
          <w:lang w:val="pt-BR"/>
        </w:rPr>
        <w:t>JOSIANE CRISTINA FRANCISCO PIETRO</w:t>
      </w:r>
    </w:p>
    <w:p w14:paraId="2807F53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Calibri" w:hAnsi="Calibri"/>
          <w:b w:val="0"/>
          <w:bCs w:val="0"/>
          <w:sz w:val="20"/>
          <w:szCs w:val="20"/>
          <w:lang w:val="pt-BR"/>
        </w:rPr>
      </w:pPr>
      <w:r>
        <w:rPr>
          <w:rFonts w:hint="default" w:ascii="Calibri" w:hAnsi="Calibri"/>
          <w:b w:val="0"/>
          <w:bCs w:val="0"/>
          <w:sz w:val="20"/>
          <w:szCs w:val="20"/>
          <w:lang w:val="pt-BR"/>
        </w:rPr>
        <w:t>SECRETARIA DE ASSISTÊNCIA E DESENVOLVIMENTO SOCIAL</w:t>
      </w:r>
    </w:p>
    <w:p w14:paraId="4FC27D90">
      <w:pPr>
        <w:rPr>
          <w:rFonts w:hint="default" w:ascii="Calibri" w:hAnsi="Calibri" w:cs="Calibri"/>
          <w:b w:val="0"/>
          <w:bCs w:val="0"/>
          <w:sz w:val="22"/>
          <w:szCs w:val="22"/>
          <w:lang w:val="pt-BR"/>
        </w:rPr>
      </w:pPr>
      <w:r>
        <w:rPr>
          <w:rFonts w:hint="default" w:ascii="Calibri" w:hAnsi="Calibri" w:cs="Calibri"/>
          <w:b w:val="0"/>
          <w:bCs w:val="0"/>
          <w:sz w:val="22"/>
          <w:szCs w:val="22"/>
          <w:lang w:val="pt-BR"/>
        </w:rPr>
        <w:br w:type="page"/>
      </w:r>
    </w:p>
    <w:p w14:paraId="20CDED2F">
      <w:pPr>
        <w:pStyle w:val="131"/>
        <w:widowControl/>
        <w:spacing w:line="300" w:lineRule="atLeast"/>
        <w:jc w:val="center"/>
        <w:rPr>
          <w:rFonts w:hint="default" w:ascii="Calibri" w:hAnsi="Calibri" w:cs="Calibri"/>
          <w:b/>
          <w:bCs/>
          <w:sz w:val="21"/>
          <w:szCs w:val="21"/>
          <w:lang w:val="pt-BR"/>
        </w:rPr>
      </w:pPr>
      <w:r>
        <w:rPr>
          <w:rFonts w:hint="default" w:ascii="Calibri" w:hAnsi="Calibri" w:cs="Calibri"/>
          <w:b/>
          <w:bCs/>
          <w:sz w:val="21"/>
          <w:szCs w:val="21"/>
          <w:lang w:val="pt-BR"/>
        </w:rPr>
        <w:t xml:space="preserve">ANEXO II  </w:t>
      </w:r>
    </w:p>
    <w:p w14:paraId="3F6DA361">
      <w:pPr>
        <w:pStyle w:val="131"/>
        <w:widowControl/>
        <w:spacing w:line="300" w:lineRule="atLeast"/>
        <w:jc w:val="center"/>
        <w:rPr>
          <w:rFonts w:hint="default" w:ascii="Calibri" w:hAnsi="Calibri" w:cs="Calibri"/>
          <w:b/>
          <w:bCs/>
          <w:sz w:val="21"/>
          <w:szCs w:val="21"/>
          <w:lang w:val="pt-BR"/>
        </w:rPr>
      </w:pPr>
      <w:r>
        <w:rPr>
          <w:rFonts w:hint="default" w:ascii="Calibri" w:hAnsi="Calibri" w:cs="Calibri"/>
          <w:b/>
          <w:bCs/>
          <w:sz w:val="21"/>
          <w:szCs w:val="21"/>
          <w:lang w:val="pt-BR"/>
        </w:rPr>
        <w:t xml:space="preserve">PREGÃO ELETRÔNICO </w:t>
      </w:r>
      <w:r>
        <w:rPr>
          <w:rFonts w:hint="default" w:ascii="Calibri" w:hAnsi="Calibri" w:cs="Calibri"/>
          <w:b/>
          <w:bCs/>
          <w:sz w:val="21"/>
          <w:szCs w:val="21"/>
        </w:rPr>
        <w:t xml:space="preserve"> Nº</w:t>
      </w:r>
      <w:r>
        <w:rPr>
          <w:rFonts w:hint="default" w:ascii="Calibri" w:hAnsi="Calibri" w:cs="Calibri"/>
          <w:b/>
          <w:bCs/>
          <w:sz w:val="21"/>
          <w:szCs w:val="21"/>
          <w:lang w:val="pt-BR"/>
        </w:rPr>
        <w:t xml:space="preserve"> 005/</w:t>
      </w:r>
      <w:r>
        <w:rPr>
          <w:rFonts w:hint="default" w:ascii="Calibri" w:hAnsi="Calibri" w:cs="Calibri"/>
          <w:b/>
          <w:bCs/>
          <w:sz w:val="21"/>
          <w:szCs w:val="21"/>
        </w:rPr>
        <w:t>20</w:t>
      </w:r>
      <w:r>
        <w:rPr>
          <w:rFonts w:hint="default" w:ascii="Calibri" w:hAnsi="Calibri" w:cs="Calibri"/>
          <w:b/>
          <w:bCs/>
          <w:sz w:val="21"/>
          <w:szCs w:val="21"/>
          <w:lang w:val="pt-BR"/>
        </w:rPr>
        <w:t>25</w:t>
      </w:r>
    </w:p>
    <w:p w14:paraId="0A533ABD">
      <w:pPr>
        <w:jc w:val="center"/>
        <w:rPr>
          <w:rFonts w:asciiTheme="majorHAnsi" w:hAnsiTheme="majorHAnsi" w:cstheme="majorHAnsi"/>
          <w:sz w:val="21"/>
          <w:szCs w:val="21"/>
          <w:highlight w:val="yellow"/>
        </w:rPr>
      </w:pPr>
      <w:r>
        <w:rPr>
          <w:rFonts w:asciiTheme="majorHAnsi" w:hAnsiTheme="majorHAnsi" w:cstheme="majorHAnsi"/>
          <w:b/>
          <w:bCs/>
          <w:sz w:val="21"/>
          <w:szCs w:val="21"/>
          <w:highlight w:val="yellow"/>
        </w:rPr>
        <w:t>MINUTA D</w:t>
      </w:r>
      <w:r>
        <w:rPr>
          <w:rFonts w:hint="default" w:asciiTheme="majorHAnsi" w:hAnsiTheme="majorHAnsi" w:cstheme="majorHAnsi"/>
          <w:b/>
          <w:bCs/>
          <w:sz w:val="21"/>
          <w:szCs w:val="21"/>
          <w:highlight w:val="yellow"/>
          <w:lang w:val="pt-BR"/>
        </w:rPr>
        <w:t>A ATA DE REGISTRO DE PREÇOS</w:t>
      </w:r>
      <w:r>
        <w:rPr>
          <w:rFonts w:asciiTheme="majorHAnsi" w:hAnsiTheme="majorHAnsi" w:cstheme="majorHAnsi"/>
          <w:sz w:val="21"/>
          <w:szCs w:val="21"/>
          <w:highlight w:val="yellow"/>
        </w:rPr>
        <w:t>.</w:t>
      </w:r>
    </w:p>
    <w:p w14:paraId="6D09E999">
      <w:pPr>
        <w:keepNext w:val="0"/>
        <w:keepLines w:val="0"/>
        <w:pageBreakBefore w:val="0"/>
        <w:kinsoku/>
        <w:wordWrap/>
        <w:overflowPunct/>
        <w:topLinePunct w:val="0"/>
        <w:bidi w:val="0"/>
        <w:adjustRightInd/>
        <w:snapToGrid/>
        <w:spacing w:line="240" w:lineRule="auto"/>
        <w:jc w:val="both"/>
        <w:rPr>
          <w:rFonts w:hint="default" w:ascii="Calibri" w:hAnsi="Calibri" w:cs="Calibri"/>
          <w:b w:val="0"/>
          <w:bCs w:val="0"/>
          <w:sz w:val="21"/>
          <w:szCs w:val="21"/>
          <w:lang w:val="pt-BR"/>
        </w:rPr>
      </w:pPr>
    </w:p>
    <w:p w14:paraId="57D3DF14">
      <w:pPr>
        <w:widowControl w:val="0"/>
        <w:autoSpaceDE w:val="0"/>
        <w:autoSpaceDN w:val="0"/>
        <w:adjustRightInd w:val="0"/>
        <w:spacing w:line="360" w:lineRule="auto"/>
        <w:ind w:right="-30"/>
        <w:jc w:val="right"/>
        <w:rPr>
          <w:rFonts w:hint="default" w:ascii="Calibri" w:hAnsi="Calibri" w:cs="Calibri"/>
          <w:b/>
          <w:bCs/>
          <w:sz w:val="21"/>
          <w:szCs w:val="21"/>
          <w:lang w:val="pt-BR"/>
        </w:rPr>
      </w:pPr>
      <w:r>
        <w:rPr>
          <w:rFonts w:hint="default" w:ascii="Calibri" w:hAnsi="Calibri" w:cs="Calibri"/>
          <w:b/>
          <w:bCs/>
          <w:sz w:val="21"/>
          <w:szCs w:val="21"/>
        </w:rPr>
        <w:t>ATA DE REGISTRO DE PREÇOS</w:t>
      </w:r>
      <w:r>
        <w:rPr>
          <w:rFonts w:hint="default" w:ascii="Calibri" w:hAnsi="Calibri" w:cs="Calibri"/>
          <w:b/>
          <w:bCs/>
          <w:sz w:val="21"/>
          <w:szCs w:val="21"/>
          <w:lang w:val="pt-BR"/>
        </w:rPr>
        <w:t xml:space="preserve"> n</w:t>
      </w:r>
      <w:r>
        <w:rPr>
          <w:rFonts w:hint="default" w:ascii="Calibri" w:hAnsi="Calibri" w:cs="Calibri"/>
          <w:b/>
          <w:bCs/>
          <w:sz w:val="21"/>
          <w:szCs w:val="21"/>
        </w:rPr>
        <w:t>º .........</w:t>
      </w:r>
      <w:r>
        <w:rPr>
          <w:rFonts w:hint="default" w:ascii="Calibri" w:hAnsi="Calibri" w:cs="Calibri"/>
          <w:b/>
          <w:bCs/>
          <w:sz w:val="21"/>
          <w:szCs w:val="21"/>
          <w:lang w:val="pt-BR"/>
        </w:rPr>
        <w:t>/2025</w:t>
      </w:r>
    </w:p>
    <w:p w14:paraId="028D477E">
      <w:pPr>
        <w:widowControl w:val="0"/>
        <w:numPr>
          <w:ilvl w:val="0"/>
          <w:numId w:val="0"/>
        </w:numPr>
        <w:autoSpaceDE w:val="0"/>
        <w:autoSpaceDN w:val="0"/>
        <w:adjustRightInd w:val="0"/>
        <w:spacing w:line="360" w:lineRule="auto"/>
        <w:ind w:right="-30" w:rightChars="0"/>
        <w:jc w:val="center"/>
        <w:rPr>
          <w:rFonts w:hint="default" w:ascii="Calibri" w:hAnsi="Calibri" w:cs="Calibri"/>
          <w:bCs/>
          <w:sz w:val="21"/>
          <w:szCs w:val="21"/>
        </w:rPr>
      </w:pPr>
    </w:p>
    <w:p w14:paraId="4DD40D2E">
      <w:pPr>
        <w:widowControl w:val="0"/>
        <w:numPr>
          <w:ilvl w:val="0"/>
          <w:numId w:val="0"/>
        </w:numPr>
        <w:autoSpaceDE w:val="0"/>
        <w:autoSpaceDN w:val="0"/>
        <w:adjustRightInd w:val="0"/>
        <w:spacing w:line="240" w:lineRule="auto"/>
        <w:ind w:right="-30" w:rightChars="0"/>
        <w:jc w:val="both"/>
        <w:rPr>
          <w:rFonts w:hint="default" w:ascii="Calibri" w:hAnsi="Calibri" w:cs="Calibri"/>
          <w:b/>
          <w:bCs w:val="0"/>
          <w:sz w:val="21"/>
          <w:szCs w:val="21"/>
          <w:lang w:val="pt-BR"/>
        </w:rPr>
      </w:pPr>
      <w:r>
        <w:rPr>
          <w:rFonts w:hint="default" w:ascii="Calibri" w:hAnsi="Calibri" w:cs="Calibri"/>
          <w:b/>
          <w:bCs w:val="0"/>
          <w:sz w:val="21"/>
          <w:szCs w:val="21"/>
          <w:lang w:val="pt-BR"/>
        </w:rPr>
        <w:t>PROCESSO LICITATÓRIO: 005/2025</w:t>
      </w:r>
    </w:p>
    <w:p w14:paraId="64073D1C">
      <w:pPr>
        <w:widowControl w:val="0"/>
        <w:numPr>
          <w:ilvl w:val="0"/>
          <w:numId w:val="0"/>
        </w:numPr>
        <w:autoSpaceDE w:val="0"/>
        <w:autoSpaceDN w:val="0"/>
        <w:adjustRightInd w:val="0"/>
        <w:spacing w:line="240" w:lineRule="auto"/>
        <w:ind w:right="-30" w:rightChars="0"/>
        <w:jc w:val="both"/>
        <w:rPr>
          <w:rFonts w:hint="default" w:ascii="Calibri" w:hAnsi="Calibri" w:cs="Calibri"/>
          <w:b/>
          <w:bCs w:val="0"/>
          <w:sz w:val="21"/>
          <w:szCs w:val="21"/>
          <w:lang w:val="pt-BR"/>
        </w:rPr>
      </w:pPr>
      <w:r>
        <w:rPr>
          <w:rFonts w:hint="default" w:ascii="Calibri" w:hAnsi="Calibri" w:cs="Calibri"/>
          <w:b/>
          <w:bCs w:val="0"/>
          <w:sz w:val="21"/>
          <w:szCs w:val="21"/>
          <w:lang w:val="pt-BR"/>
        </w:rPr>
        <w:t>PROCESSO ADM. 1DOC Nº: 1096/2025</w:t>
      </w:r>
    </w:p>
    <w:p w14:paraId="72D66C91">
      <w:pPr>
        <w:widowControl w:val="0"/>
        <w:numPr>
          <w:ilvl w:val="0"/>
          <w:numId w:val="0"/>
        </w:numPr>
        <w:autoSpaceDE w:val="0"/>
        <w:autoSpaceDN w:val="0"/>
        <w:adjustRightInd w:val="0"/>
        <w:spacing w:line="240" w:lineRule="auto"/>
        <w:ind w:right="-30" w:rightChars="0"/>
        <w:jc w:val="both"/>
        <w:rPr>
          <w:rFonts w:hint="default" w:ascii="Calibri" w:hAnsi="Calibri" w:cs="Calibri"/>
          <w:b/>
          <w:bCs w:val="0"/>
          <w:sz w:val="21"/>
          <w:szCs w:val="21"/>
          <w:lang w:val="pt-BR"/>
        </w:rPr>
      </w:pPr>
      <w:r>
        <w:rPr>
          <w:rFonts w:hint="default" w:ascii="Calibri" w:hAnsi="Calibri" w:cs="Calibri"/>
          <w:b/>
          <w:bCs w:val="0"/>
          <w:sz w:val="21"/>
          <w:szCs w:val="21"/>
          <w:lang w:val="pt-BR"/>
        </w:rPr>
        <w:t>SISTEMA GOVBR Nº 033/2025</w:t>
      </w:r>
    </w:p>
    <w:p w14:paraId="301BACF7">
      <w:pPr>
        <w:widowControl w:val="0"/>
        <w:tabs>
          <w:tab w:val="center" w:pos="4779"/>
          <w:tab w:val="right" w:pos="9198"/>
        </w:tabs>
        <w:autoSpaceDE w:val="0"/>
        <w:autoSpaceDN w:val="0"/>
        <w:adjustRightInd w:val="0"/>
        <w:spacing w:before="120" w:after="120" w:line="276" w:lineRule="auto"/>
        <w:ind w:right="-28" w:firstLine="1418"/>
        <w:jc w:val="both"/>
        <w:rPr>
          <w:rFonts w:hint="default" w:ascii="Calibri" w:hAnsi="Calibri" w:cs="Calibri"/>
          <w:b/>
          <w:bCs/>
          <w:sz w:val="21"/>
          <w:szCs w:val="21"/>
        </w:rPr>
      </w:pPr>
    </w:p>
    <w:p w14:paraId="47026734">
      <w:pPr>
        <w:widowControl w:val="0"/>
        <w:tabs>
          <w:tab w:val="center" w:pos="4779"/>
          <w:tab w:val="right" w:pos="9198"/>
        </w:tabs>
        <w:autoSpaceDE w:val="0"/>
        <w:autoSpaceDN w:val="0"/>
        <w:adjustRightInd w:val="0"/>
        <w:spacing w:before="120" w:after="120" w:line="276" w:lineRule="auto"/>
        <w:ind w:right="-28" w:firstLine="1418"/>
        <w:jc w:val="both"/>
        <w:rPr>
          <w:rFonts w:hint="default" w:ascii="Calibri" w:hAnsi="Calibri" w:cs="Calibri"/>
          <w:b/>
          <w:bCs/>
          <w:sz w:val="21"/>
          <w:szCs w:val="21"/>
        </w:rPr>
      </w:pPr>
    </w:p>
    <w:p w14:paraId="2D9AF03C">
      <w:pPr>
        <w:keepNext w:val="0"/>
        <w:keepLines w:val="0"/>
        <w:pageBreakBefore w:val="0"/>
        <w:widowControl w:val="0"/>
        <w:tabs>
          <w:tab w:val="center" w:pos="4779"/>
          <w:tab w:val="right" w:pos="9198"/>
        </w:tabs>
        <w:kinsoku/>
        <w:wordWrap/>
        <w:overflowPunct/>
        <w:topLinePunct w:val="0"/>
        <w:autoSpaceDE w:val="0"/>
        <w:autoSpaceDN w:val="0"/>
        <w:bidi w:val="0"/>
        <w:adjustRightInd w:val="0"/>
        <w:snapToGrid w:val="0"/>
        <w:spacing w:before="181" w:beforeLines="50" w:after="181" w:afterLines="50" w:line="276" w:lineRule="auto"/>
        <w:ind w:right="-28" w:firstLine="1417"/>
        <w:jc w:val="both"/>
        <w:textAlignment w:val="auto"/>
        <w:rPr>
          <w:rFonts w:hint="default" w:ascii="Calibri" w:hAnsi="Calibri" w:cs="Calibri"/>
          <w:sz w:val="21"/>
          <w:szCs w:val="21"/>
        </w:rPr>
      </w:pPr>
      <w:r>
        <w:rPr>
          <w:rFonts w:hint="default" w:ascii="Calibri" w:hAnsi="Calibri" w:cs="Calibri"/>
          <w:b/>
          <w:bCs/>
          <w:sz w:val="21"/>
          <w:szCs w:val="21"/>
        </w:rPr>
        <w:t>A</w:t>
      </w:r>
      <w:r>
        <w:rPr>
          <w:rFonts w:hint="default" w:ascii="Calibri" w:hAnsi="Calibri" w:cs="Calibri"/>
          <w:b/>
          <w:bCs/>
          <w:sz w:val="21"/>
          <w:szCs w:val="21"/>
          <w:lang w:val="pt-BR"/>
        </w:rPr>
        <w:t xml:space="preserve"> PREFEITURA DO MUNICÍPIO DE LEME</w:t>
      </w:r>
      <w:r>
        <w:rPr>
          <w:rFonts w:hint="default" w:ascii="Calibri" w:hAnsi="Calibri" w:cs="Calibri"/>
          <w:sz w:val="21"/>
          <w:szCs w:val="21"/>
          <w:lang w:val="pt-BR"/>
        </w:rPr>
        <w:t xml:space="preserve">, </w:t>
      </w:r>
      <w:r>
        <w:rPr>
          <w:rFonts w:hint="default" w:ascii="Calibri" w:hAnsi="Calibri" w:cs="Calibri"/>
          <w:sz w:val="21"/>
          <w:szCs w:val="21"/>
        </w:rPr>
        <w:t xml:space="preserve"> com sede na</w:t>
      </w:r>
      <w:r>
        <w:rPr>
          <w:rFonts w:hint="default" w:ascii="Calibri" w:hAnsi="Calibri" w:cs="Calibri"/>
          <w:sz w:val="21"/>
          <w:szCs w:val="21"/>
          <w:lang w:val="pt-BR"/>
        </w:rPr>
        <w:t xml:space="preserve"> Rua Armando Salles de Oliveira, nº 1.085, centro - Leme/SP</w:t>
      </w:r>
      <w:r>
        <w:rPr>
          <w:rFonts w:hint="default" w:ascii="Calibri" w:hAnsi="Calibri" w:cs="Calibri"/>
          <w:sz w:val="21"/>
          <w:szCs w:val="21"/>
        </w:rPr>
        <w:t xml:space="preserve">, inscrita no CNPJ/MF sob o nº </w:t>
      </w:r>
      <w:r>
        <w:rPr>
          <w:rFonts w:hint="default" w:ascii="Calibri" w:hAnsi="Calibri" w:cs="Calibri"/>
          <w:sz w:val="21"/>
          <w:szCs w:val="21"/>
          <w:lang w:val="pt-BR"/>
        </w:rPr>
        <w:t>46.362.661/0001-68</w:t>
      </w:r>
      <w:r>
        <w:rPr>
          <w:rFonts w:hint="default" w:ascii="Calibri" w:hAnsi="Calibri" w:cs="Calibri"/>
          <w:sz w:val="21"/>
          <w:szCs w:val="21"/>
        </w:rPr>
        <w:t xml:space="preserve">, </w:t>
      </w:r>
      <w:r>
        <w:rPr>
          <w:rFonts w:hint="default" w:ascii="Calibri" w:hAnsi="Calibri" w:cs="Calibri"/>
          <w:sz w:val="21"/>
          <w:szCs w:val="21"/>
          <w:highlight w:val="cyan"/>
          <w:lang w:val="pt-BR"/>
        </w:rPr>
        <w:t>através de sua Secretaria de Assistência e Desenvolvimentos Social</w:t>
      </w:r>
      <w:r>
        <w:rPr>
          <w:rFonts w:hint="default" w:ascii="Calibri" w:hAnsi="Calibri" w:cs="Calibri"/>
          <w:sz w:val="21"/>
          <w:szCs w:val="21"/>
          <w:highlight w:val="none"/>
          <w:lang w:val="pt-BR"/>
        </w:rPr>
        <w:t xml:space="preserve"> </w:t>
      </w:r>
      <w:r>
        <w:rPr>
          <w:rFonts w:hint="default" w:ascii="Calibri" w:hAnsi="Calibri" w:cs="Calibri"/>
          <w:sz w:val="21"/>
          <w:szCs w:val="21"/>
        </w:rPr>
        <w:t xml:space="preserve">neste ato representado(a) pelo(a) </w:t>
      </w:r>
      <w:r>
        <w:rPr>
          <w:rFonts w:hint="default" w:ascii="Calibri" w:hAnsi="Calibri" w:cs="Calibri"/>
          <w:sz w:val="21"/>
          <w:szCs w:val="21"/>
          <w:highlight w:val="cyan"/>
          <w:lang w:val="pt-BR"/>
        </w:rPr>
        <w:t>SECRETÁRIO (a)...............</w:t>
      </w:r>
      <w:r>
        <w:rPr>
          <w:rFonts w:hint="default" w:ascii="Calibri" w:hAnsi="Calibri" w:cs="Calibri"/>
          <w:sz w:val="21"/>
          <w:szCs w:val="21"/>
          <w:highlight w:val="cyan"/>
        </w:rPr>
        <w:t>. (</w:t>
      </w:r>
      <w:r>
        <w:rPr>
          <w:rFonts w:hint="default" w:ascii="Calibri" w:hAnsi="Calibri" w:cs="Calibri"/>
          <w:i/>
          <w:iCs/>
          <w:sz w:val="21"/>
          <w:szCs w:val="21"/>
          <w:highlight w:val="cyan"/>
        </w:rPr>
        <w:t>cargo e nome</w:t>
      </w:r>
      <w:r>
        <w:rPr>
          <w:rFonts w:hint="default" w:ascii="Calibri" w:hAnsi="Calibri" w:cs="Calibri"/>
          <w:sz w:val="21"/>
          <w:szCs w:val="21"/>
          <w:highlight w:val="cyan"/>
        </w:rPr>
        <w:t>)</w:t>
      </w:r>
      <w:r>
        <w:rPr>
          <w:rFonts w:hint="default" w:ascii="Calibri" w:hAnsi="Calibri" w:cs="Calibri"/>
          <w:sz w:val="21"/>
          <w:szCs w:val="21"/>
        </w:rPr>
        <w:t>, considerando o julgamento da licitação na modalidade de pregão, na forma eletrônica,</w:t>
      </w:r>
      <w:r>
        <w:rPr>
          <w:rFonts w:hint="default" w:ascii="Calibri" w:hAnsi="Calibri" w:cs="Calibri"/>
          <w:sz w:val="21"/>
          <w:szCs w:val="21"/>
          <w:lang w:val="pt-BR"/>
        </w:rPr>
        <w:t xml:space="preserve"> supra citado</w:t>
      </w:r>
      <w:r>
        <w:rPr>
          <w:rFonts w:hint="default" w:ascii="Calibri" w:hAnsi="Calibri" w:cs="Calibri"/>
          <w:sz w:val="21"/>
          <w:szCs w:val="21"/>
          <w:highlight w:val="cyan"/>
        </w:rPr>
        <w:t>, publicad</w:t>
      </w:r>
      <w:r>
        <w:rPr>
          <w:rFonts w:hint="default" w:ascii="Calibri" w:hAnsi="Calibri" w:cs="Calibri"/>
          <w:sz w:val="21"/>
          <w:szCs w:val="21"/>
          <w:highlight w:val="cyan"/>
          <w:lang w:val="pt-BR"/>
        </w:rPr>
        <w:t>o</w:t>
      </w:r>
      <w:r>
        <w:rPr>
          <w:rFonts w:hint="default" w:ascii="Calibri" w:hAnsi="Calibri" w:cs="Calibri"/>
          <w:sz w:val="21"/>
          <w:szCs w:val="21"/>
          <w:highlight w:val="cyan"/>
        </w:rPr>
        <w:t xml:space="preserve"> n</w:t>
      </w:r>
      <w:r>
        <w:rPr>
          <w:rFonts w:hint="default" w:ascii="Calibri" w:hAnsi="Calibri" w:cs="Calibri"/>
          <w:sz w:val="21"/>
          <w:szCs w:val="21"/>
          <w:highlight w:val="cyan"/>
          <w:lang w:val="pt-BR"/>
        </w:rPr>
        <w:t>a</w:t>
      </w:r>
      <w:r>
        <w:rPr>
          <w:rFonts w:hint="default" w:ascii="Calibri" w:hAnsi="Calibri" w:cs="Calibri"/>
          <w:sz w:val="21"/>
          <w:szCs w:val="21"/>
          <w:highlight w:val="cyan"/>
        </w:rPr>
        <w:t xml:space="preserve"> </w:t>
      </w:r>
      <w:r>
        <w:rPr>
          <w:rFonts w:hint="default" w:ascii="Calibri" w:hAnsi="Calibri" w:cs="Calibri"/>
          <w:sz w:val="21"/>
          <w:szCs w:val="21"/>
          <w:highlight w:val="cyan"/>
          <w:lang w:val="pt-BR"/>
        </w:rPr>
        <w:t xml:space="preserve">Imprensa Oficial de Leme, em </w:t>
      </w:r>
      <w:r>
        <w:rPr>
          <w:rFonts w:hint="default" w:ascii="Calibri" w:hAnsi="Calibri" w:cs="Calibri"/>
          <w:sz w:val="21"/>
          <w:szCs w:val="21"/>
          <w:highlight w:val="cyan"/>
        </w:rPr>
        <w:t>...... de ...../...../202.....</w:t>
      </w:r>
      <w:r>
        <w:rPr>
          <w:rFonts w:hint="default" w:ascii="Calibri" w:hAnsi="Calibri" w:cs="Calibri"/>
          <w:sz w:val="21"/>
          <w:szCs w:val="21"/>
          <w:highlight w:val="cyan"/>
          <w:lang w:val="pt-BR"/>
        </w:rPr>
        <w:t>(HOMOLOGAÇÃO)</w:t>
      </w:r>
      <w:r>
        <w:rPr>
          <w:rFonts w:hint="default" w:ascii="Calibri" w:hAnsi="Calibri" w:cs="Calibri"/>
          <w:sz w:val="21"/>
          <w:szCs w:val="21"/>
          <w:highlight w:val="cyan"/>
        </w:rPr>
        <w:t>,</w:t>
      </w:r>
      <w:r>
        <w:rPr>
          <w:rFonts w:hint="default" w:ascii="Calibri" w:hAnsi="Calibri" w:cs="Calibri"/>
          <w:sz w:val="21"/>
          <w:szCs w:val="21"/>
          <w:lang w:val="pt-BR"/>
        </w:rPr>
        <w:t xml:space="preserve"> </w:t>
      </w:r>
      <w:r>
        <w:rPr>
          <w:rFonts w:hint="default" w:ascii="Calibri" w:hAnsi="Calibri" w:cs="Calibri"/>
          <w:sz w:val="21"/>
          <w:szCs w:val="21"/>
        </w:rPr>
        <w:t xml:space="preserve"> </w:t>
      </w:r>
      <w:r>
        <w:rPr>
          <w:rFonts w:hint="default" w:ascii="Calibri" w:hAnsi="Calibri" w:cs="Calibri"/>
          <w:b/>
          <w:bCs/>
          <w:sz w:val="21"/>
          <w:szCs w:val="21"/>
        </w:rPr>
        <w:t>RESOLVE</w:t>
      </w:r>
      <w:r>
        <w:rPr>
          <w:rFonts w:hint="default" w:ascii="Calibri" w:hAnsi="Calibri" w:cs="Calibri"/>
          <w:sz w:val="21"/>
          <w:szCs w:val="21"/>
        </w:rPr>
        <w:t xml:space="preserve"> registrar os preços da(s)  empresa(s) indicada(s) e qualificada(s) nesta ATA, de acordo com a classificação por ela(s) alcançada(s) e na(s)  quantidade(s)  cotada(s), atendendo as condições previstas no </w:t>
      </w:r>
      <w:r>
        <w:rPr>
          <w:rFonts w:hint="default" w:ascii="Calibri" w:hAnsi="Calibri" w:cs="Calibri"/>
          <w:b/>
          <w:bCs/>
          <w:color w:val="auto"/>
          <w:sz w:val="21"/>
          <w:szCs w:val="21"/>
          <w:highlight w:val="cyan"/>
          <w:lang w:val="pt-BR"/>
        </w:rPr>
        <w:t>Pregão Eletrônico nº 005/2025</w:t>
      </w:r>
      <w:r>
        <w:rPr>
          <w:rFonts w:hint="default" w:ascii="Calibri" w:hAnsi="Calibri" w:cs="Calibri"/>
          <w:sz w:val="21"/>
          <w:szCs w:val="21"/>
        </w:rPr>
        <w:t xml:space="preserve">, sujeitando-se as partes às normas constantes na Lei nº 14.133, de 1º de abril de 2021, no Decreto </w:t>
      </w:r>
      <w:r>
        <w:rPr>
          <w:rFonts w:hint="default" w:ascii="Calibri" w:hAnsi="Calibri" w:cs="Calibri"/>
          <w:sz w:val="21"/>
          <w:szCs w:val="21"/>
          <w:lang w:val="pt-BR"/>
        </w:rPr>
        <w:t>Municipal nº 8.217/23</w:t>
      </w:r>
      <w:r>
        <w:rPr>
          <w:rFonts w:hint="default" w:ascii="Calibri" w:hAnsi="Calibri" w:cs="Calibri"/>
          <w:sz w:val="21"/>
          <w:szCs w:val="21"/>
        </w:rPr>
        <w:t xml:space="preserve">, </w:t>
      </w:r>
      <w:r>
        <w:rPr>
          <w:rFonts w:hint="default" w:ascii="Calibri" w:hAnsi="Calibri" w:cs="Calibri"/>
          <w:sz w:val="21"/>
          <w:szCs w:val="21"/>
          <w:lang w:val="pt-BR"/>
        </w:rPr>
        <w:t xml:space="preserve">demais decretos municipais regulamentadores da Lei 14.133/23, e </w:t>
      </w:r>
      <w:r>
        <w:rPr>
          <w:rFonts w:hint="default" w:ascii="Calibri" w:hAnsi="Calibri" w:cs="Calibri"/>
          <w:sz w:val="21"/>
          <w:szCs w:val="21"/>
        </w:rPr>
        <w:t>em conformidade com as disposições a seguir:</w:t>
      </w:r>
    </w:p>
    <w:p w14:paraId="53F9DEBE">
      <w:pPr>
        <w:keepNext w:val="0"/>
        <w:keepLines w:val="0"/>
        <w:pageBreakBefore w:val="0"/>
        <w:widowControl w:val="0"/>
        <w:tabs>
          <w:tab w:val="center" w:pos="4779"/>
          <w:tab w:val="right" w:pos="9198"/>
        </w:tabs>
        <w:kinsoku/>
        <w:wordWrap/>
        <w:overflowPunct/>
        <w:topLinePunct w:val="0"/>
        <w:autoSpaceDE w:val="0"/>
        <w:autoSpaceDN w:val="0"/>
        <w:bidi w:val="0"/>
        <w:adjustRightInd w:val="0"/>
        <w:snapToGrid w:val="0"/>
        <w:spacing w:before="181" w:beforeLines="50" w:after="181" w:afterLines="50" w:line="276" w:lineRule="auto"/>
        <w:ind w:right="-28" w:firstLine="1417"/>
        <w:jc w:val="both"/>
        <w:textAlignment w:val="auto"/>
        <w:rPr>
          <w:rFonts w:hint="default" w:ascii="Calibri" w:hAnsi="Calibri" w:cs="Calibri"/>
          <w:sz w:val="21"/>
          <w:szCs w:val="21"/>
        </w:rPr>
      </w:pPr>
    </w:p>
    <w:p w14:paraId="3FDB0B1A">
      <w:pPr>
        <w:pStyle w:val="41"/>
        <w:pageBreakBefore w:val="0"/>
        <w:numPr>
          <w:ilvl w:val="0"/>
          <w:numId w:val="11"/>
        </w:numPr>
        <w:kinsoku/>
        <w:wordWrap/>
        <w:overflowPunct/>
        <w:topLinePunct w:val="0"/>
        <w:bidi w:val="0"/>
        <w:snapToGrid w:val="0"/>
        <w:spacing w:before="0"/>
        <w:ind w:left="0" w:leftChars="0" w:firstLine="0" w:firstLineChars="0"/>
        <w:textAlignment w:val="auto"/>
        <w:rPr>
          <w:rFonts w:hint="default" w:ascii="Calibri" w:hAnsi="Calibri" w:cs="Calibri"/>
          <w:sz w:val="21"/>
          <w:szCs w:val="21"/>
        </w:rPr>
      </w:pPr>
      <w:r>
        <w:rPr>
          <w:rFonts w:hint="default" w:ascii="Calibri" w:hAnsi="Calibri" w:cs="Calibri"/>
          <w:sz w:val="21"/>
          <w:szCs w:val="21"/>
        </w:rPr>
        <w:t xml:space="preserve">DO </w:t>
      </w:r>
      <w:r>
        <w:rPr>
          <w:rFonts w:hint="default" w:ascii="Calibri" w:hAnsi="Calibri" w:cs="Calibri"/>
          <w:sz w:val="21"/>
          <w:szCs w:val="21"/>
          <w:lang w:val="pt-BR"/>
        </w:rPr>
        <w:t xml:space="preserve"> </w:t>
      </w:r>
      <w:r>
        <w:rPr>
          <w:rFonts w:hint="default" w:ascii="Calibri" w:hAnsi="Calibri" w:cs="Calibri"/>
          <w:sz w:val="21"/>
          <w:szCs w:val="21"/>
        </w:rPr>
        <w:t>OBJETO</w:t>
      </w:r>
    </w:p>
    <w:p w14:paraId="21E7D918">
      <w:pPr>
        <w:rPr>
          <w:rFonts w:hint="default" w:ascii="Calibri" w:hAnsi="Calibri" w:cs="Calibri"/>
          <w:sz w:val="21"/>
          <w:szCs w:val="21"/>
        </w:rPr>
      </w:pPr>
    </w:p>
    <w:p w14:paraId="38B7AD57">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 xml:space="preserve">A presente Ata tem por objeto o registro de preços para </w:t>
      </w:r>
      <w:r>
        <w:rPr>
          <w:rFonts w:hint="default" w:ascii="Calibri" w:hAnsi="Calibri" w:cs="Calibri"/>
          <w:b w:val="0"/>
          <w:bCs w:val="0"/>
          <w:sz w:val="22"/>
          <w:szCs w:val="22"/>
        </w:rPr>
        <w:t xml:space="preserve"> </w:t>
      </w:r>
      <w:r>
        <w:rPr>
          <w:rFonts w:hint="default" w:ascii="Calibri" w:hAnsi="Calibri"/>
          <w:b/>
          <w:bCs/>
          <w:color w:val="auto"/>
          <w:sz w:val="21"/>
          <w:szCs w:val="21"/>
        </w:rPr>
        <w:t>REGISTRO DE PREÇOS PARA AQUISIÇÃO DE GENEROS ALIMENTÍCIOS DIVERSOS PARA AS SECRETARIAS MUNICIPAIS E SUAS UNIDADES OPERACIONAIS</w:t>
      </w:r>
      <w:r>
        <w:rPr>
          <w:rFonts w:hint="default" w:ascii="Calibri" w:hAnsi="Calibri"/>
          <w:b/>
          <w:bCs/>
          <w:sz w:val="21"/>
          <w:szCs w:val="21"/>
          <w:lang w:val="pt-BR"/>
        </w:rPr>
        <w:t xml:space="preserve">, </w:t>
      </w:r>
      <w:r>
        <w:rPr>
          <w:rFonts w:hint="default" w:ascii="Calibri" w:hAnsi="Calibri" w:cs="Calibri"/>
          <w:i w:val="0"/>
          <w:iCs w:val="0"/>
          <w:sz w:val="21"/>
          <w:szCs w:val="21"/>
        </w:rPr>
        <w:t xml:space="preserve">especificado </w:t>
      </w:r>
      <w:r>
        <w:rPr>
          <w:rFonts w:hint="default" w:ascii="Calibri" w:hAnsi="Calibri" w:cs="Calibri"/>
          <w:i w:val="0"/>
          <w:iCs w:val="0"/>
          <w:sz w:val="21"/>
          <w:szCs w:val="21"/>
          <w:lang w:val="pt-BR"/>
        </w:rPr>
        <w:t xml:space="preserve">no </w:t>
      </w:r>
      <w:r>
        <w:rPr>
          <w:rFonts w:hint="default" w:ascii="Calibri" w:hAnsi="Calibri" w:cs="Calibri"/>
          <w:i w:val="0"/>
          <w:iCs w:val="0"/>
          <w:sz w:val="21"/>
          <w:szCs w:val="21"/>
        </w:rPr>
        <w:t xml:space="preserve">Termo de Referência, </w:t>
      </w:r>
      <w:r>
        <w:rPr>
          <w:rFonts w:hint="default" w:ascii="Calibri" w:hAnsi="Calibri" w:cs="Calibri"/>
          <w:i w:val="0"/>
          <w:iCs w:val="0"/>
          <w:sz w:val="21"/>
          <w:szCs w:val="21"/>
          <w:lang w:val="pt-BR"/>
        </w:rPr>
        <w:t>A</w:t>
      </w:r>
      <w:r>
        <w:rPr>
          <w:rFonts w:hint="default" w:ascii="Calibri" w:hAnsi="Calibri" w:cs="Calibri"/>
          <w:i w:val="0"/>
          <w:iCs w:val="0"/>
          <w:sz w:val="21"/>
          <w:szCs w:val="21"/>
        </w:rPr>
        <w:t xml:space="preserve">nexo </w:t>
      </w:r>
      <w:r>
        <w:rPr>
          <w:rFonts w:hint="default" w:ascii="Calibri" w:hAnsi="Calibri" w:cs="Calibri"/>
          <w:i w:val="0"/>
          <w:iCs w:val="0"/>
          <w:color w:val="auto"/>
          <w:sz w:val="21"/>
          <w:szCs w:val="21"/>
          <w:lang w:val="pt-BR"/>
        </w:rPr>
        <w:t xml:space="preserve">IA do </w:t>
      </w:r>
      <w:r>
        <w:rPr>
          <w:rFonts w:hint="default" w:ascii="Calibri" w:hAnsi="Calibri" w:cs="Calibri"/>
          <w:b/>
          <w:bCs/>
          <w:i w:val="0"/>
          <w:iCs w:val="0"/>
          <w:color w:val="auto"/>
          <w:sz w:val="21"/>
          <w:szCs w:val="21"/>
          <w:lang w:val="pt-BR"/>
        </w:rPr>
        <w:t xml:space="preserve">PREGÃO ELETRONICO </w:t>
      </w:r>
      <w:r>
        <w:rPr>
          <w:rFonts w:hint="default" w:ascii="Calibri" w:hAnsi="Calibri" w:cs="Calibri"/>
          <w:b/>
          <w:bCs/>
          <w:i w:val="0"/>
          <w:iCs w:val="0"/>
          <w:color w:val="auto"/>
          <w:sz w:val="21"/>
          <w:szCs w:val="21"/>
        </w:rPr>
        <w:t xml:space="preserve"> nº </w:t>
      </w:r>
      <w:r>
        <w:rPr>
          <w:rFonts w:hint="default" w:ascii="Calibri" w:hAnsi="Calibri" w:cs="Calibri"/>
          <w:b/>
          <w:bCs/>
          <w:i w:val="0"/>
          <w:iCs w:val="0"/>
          <w:color w:val="auto"/>
          <w:sz w:val="21"/>
          <w:szCs w:val="21"/>
          <w:lang w:val="pt-BR"/>
        </w:rPr>
        <w:t>005</w:t>
      </w:r>
      <w:r>
        <w:rPr>
          <w:rFonts w:hint="default" w:ascii="Calibri" w:hAnsi="Calibri" w:cs="Calibri"/>
          <w:b/>
          <w:bCs/>
          <w:i w:val="0"/>
          <w:iCs w:val="0"/>
          <w:color w:val="auto"/>
          <w:sz w:val="21"/>
          <w:szCs w:val="21"/>
        </w:rPr>
        <w:t>/20</w:t>
      </w:r>
      <w:r>
        <w:rPr>
          <w:rFonts w:hint="default" w:ascii="Calibri" w:hAnsi="Calibri" w:cs="Calibri"/>
          <w:b/>
          <w:bCs/>
          <w:i w:val="0"/>
          <w:iCs w:val="0"/>
          <w:color w:val="auto"/>
          <w:sz w:val="21"/>
          <w:szCs w:val="21"/>
          <w:lang w:val="pt-BR"/>
        </w:rPr>
        <w:t>25</w:t>
      </w:r>
      <w:r>
        <w:rPr>
          <w:rFonts w:hint="default" w:ascii="Calibri" w:hAnsi="Calibri" w:cs="Calibri"/>
          <w:i w:val="0"/>
          <w:iCs w:val="0"/>
          <w:sz w:val="21"/>
          <w:szCs w:val="21"/>
        </w:rPr>
        <w:t>, que é parte integrante desta Ata, assim como as propostas cujos preços tenham sido registrados, independentemente de transcriçã</w:t>
      </w:r>
      <w:r>
        <w:rPr>
          <w:rFonts w:hint="default" w:ascii="Calibri" w:hAnsi="Calibri" w:cs="Calibri"/>
          <w:sz w:val="21"/>
          <w:szCs w:val="21"/>
        </w:rPr>
        <w:t>o.</w:t>
      </w:r>
    </w:p>
    <w:p w14:paraId="5CF7C529">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lang w:val="pt-BR"/>
        </w:rPr>
        <w:t>As características completas relativas a execução dos serviços e/ou fornecimentos, tais como, prazos, locais, horários, condições e prazos de pagamentos, bem como demais condições, estão estabelecidas no Edital e Termo de Referência que fazem parte integrante da presente, independentemente de transcrição, e que são conhecidas e aceitas, sem restrições, pelas partes aqui declinadas, sendo consideradas como cláusulas contratuais, sob qualquer forma de documentação de contratação utilizada pela administração, desta decorrente.</w:t>
      </w:r>
    </w:p>
    <w:p w14:paraId="0F2DB99C">
      <w:pPr>
        <w:pStyle w:val="41"/>
        <w:numPr>
          <w:ilvl w:val="0"/>
          <w:numId w:val="11"/>
        </w:numPr>
        <w:ind w:left="0" w:leftChars="0" w:firstLine="0" w:firstLineChars="0"/>
        <w:rPr>
          <w:rFonts w:hint="default" w:ascii="Calibri" w:hAnsi="Calibri" w:cs="Calibri"/>
          <w:sz w:val="21"/>
          <w:szCs w:val="21"/>
        </w:rPr>
      </w:pPr>
      <w:r>
        <w:rPr>
          <w:rFonts w:hint="default" w:ascii="Calibri" w:hAnsi="Calibri" w:cs="Calibri"/>
          <w:sz w:val="21"/>
          <w:szCs w:val="21"/>
        </w:rPr>
        <w:t>DOS PREÇOS, ESPECIFICAÇÕES E QUANTITATIVOS</w:t>
      </w:r>
    </w:p>
    <w:p w14:paraId="110C5042">
      <w:pPr>
        <w:rPr>
          <w:rFonts w:hint="default"/>
        </w:rPr>
      </w:pPr>
    </w:p>
    <w:p w14:paraId="0BE1F472">
      <w:pPr>
        <w:pStyle w:val="58"/>
        <w:numPr>
          <w:ilvl w:val="1"/>
          <w:numId w:val="11"/>
        </w:numPr>
        <w:tabs>
          <w:tab w:val="left" w:pos="240"/>
          <w:tab w:val="left" w:pos="480"/>
        </w:tabs>
        <w:ind w:left="0" w:leftChars="0" w:firstLine="0" w:firstLineChars="0"/>
        <w:rPr>
          <w:rFonts w:hint="default" w:ascii="Calibri" w:hAnsi="Calibri" w:cs="Calibri"/>
          <w:sz w:val="21"/>
          <w:szCs w:val="21"/>
        </w:rPr>
      </w:pPr>
      <w:r>
        <w:rPr>
          <w:rFonts w:hint="default" w:ascii="Calibri" w:hAnsi="Calibri" w:cs="Calibri"/>
          <w:sz w:val="21"/>
          <w:szCs w:val="21"/>
          <w:lang w:val="pt-BR"/>
        </w:rPr>
        <w:t>A Detentora da presente ATA, bem como o(s)</w:t>
      </w:r>
      <w:r>
        <w:rPr>
          <w:rFonts w:hint="default" w:ascii="Calibri" w:hAnsi="Calibri" w:cs="Calibri"/>
          <w:sz w:val="21"/>
          <w:szCs w:val="21"/>
        </w:rPr>
        <w:t xml:space="preserve"> preço</w:t>
      </w:r>
      <w:r>
        <w:rPr>
          <w:rFonts w:hint="default" w:ascii="Calibri" w:hAnsi="Calibri" w:cs="Calibri"/>
          <w:sz w:val="21"/>
          <w:szCs w:val="21"/>
          <w:lang w:val="pt-BR"/>
        </w:rPr>
        <w:t>(s)</w:t>
      </w:r>
      <w:r>
        <w:rPr>
          <w:rFonts w:hint="default" w:ascii="Calibri" w:hAnsi="Calibri" w:cs="Calibri"/>
          <w:sz w:val="21"/>
          <w:szCs w:val="21"/>
        </w:rPr>
        <w:t xml:space="preserve"> registrado</w:t>
      </w:r>
      <w:r>
        <w:rPr>
          <w:rFonts w:hint="default" w:ascii="Calibri" w:hAnsi="Calibri" w:cs="Calibri"/>
          <w:sz w:val="21"/>
          <w:szCs w:val="21"/>
          <w:lang w:val="pt-BR"/>
        </w:rPr>
        <w:t>(s)</w:t>
      </w:r>
      <w:r>
        <w:rPr>
          <w:rFonts w:hint="default" w:ascii="Calibri" w:hAnsi="Calibri" w:cs="Calibri"/>
          <w:sz w:val="21"/>
          <w:szCs w:val="21"/>
        </w:rPr>
        <w:t>, as especificações do objeto, as quantidades</w:t>
      </w:r>
      <w:r>
        <w:rPr>
          <w:rFonts w:hint="default" w:ascii="Calibri" w:hAnsi="Calibri" w:cs="Calibri"/>
          <w:sz w:val="21"/>
          <w:szCs w:val="21"/>
          <w:lang w:val="pt-BR"/>
        </w:rPr>
        <w:t xml:space="preserve"> </w:t>
      </w:r>
      <w:r>
        <w:rPr>
          <w:rFonts w:hint="default" w:ascii="Calibri" w:hAnsi="Calibri" w:cs="Calibri"/>
          <w:sz w:val="21"/>
          <w:szCs w:val="21"/>
        </w:rPr>
        <w:t xml:space="preserve">de cada item, e as demais condições ofertadas na proposta são as que seguem: </w:t>
      </w:r>
    </w:p>
    <w:p w14:paraId="3AEEA2B8">
      <w:pPr>
        <w:pStyle w:val="58"/>
        <w:numPr>
          <w:ilvl w:val="1"/>
          <w:numId w:val="0"/>
        </w:numPr>
        <w:tabs>
          <w:tab w:val="left" w:pos="240"/>
          <w:tab w:val="left" w:pos="480"/>
        </w:tabs>
        <w:ind w:leftChars="0"/>
        <w:rPr>
          <w:rFonts w:hint="default" w:ascii="Calibri" w:hAnsi="Calibri" w:cs="Calibri"/>
          <w:sz w:val="21"/>
          <w:szCs w:val="21"/>
        </w:r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3"/>
        <w:gridCol w:w="6564"/>
      </w:tblGrid>
      <w:tr w14:paraId="6D93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gridSpan w:val="2"/>
            <w:shd w:val="clear" w:color="auto" w:fill="D7D7D7" w:themeFill="background1" w:themeFillShade="D8"/>
          </w:tcPr>
          <w:p w14:paraId="1480FA41">
            <w:pPr>
              <w:jc w:val="center"/>
              <w:rPr>
                <w:rFonts w:hint="default" w:ascii="Calibri" w:hAnsi="Calibri" w:cs="Calibri"/>
                <w:b/>
                <w:bCs/>
                <w:sz w:val="22"/>
                <w:szCs w:val="22"/>
                <w:vertAlign w:val="baseline"/>
                <w:lang w:val="pt-BR"/>
              </w:rPr>
            </w:pPr>
            <w:r>
              <w:rPr>
                <w:rFonts w:hint="default" w:ascii="Calibri" w:hAnsi="Calibri" w:cs="Calibri"/>
                <w:b/>
                <w:bCs/>
                <w:sz w:val="22"/>
                <w:szCs w:val="22"/>
                <w:vertAlign w:val="baseline"/>
                <w:lang w:val="pt-BR"/>
              </w:rPr>
              <w:t>DETENTORA DA ATA</w:t>
            </w:r>
          </w:p>
        </w:tc>
      </w:tr>
      <w:tr w14:paraId="1CE5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23" w:type="dxa"/>
            <w:vAlign w:val="top"/>
          </w:tcPr>
          <w:p w14:paraId="2CB6CC3C">
            <w:pPr>
              <w:jc w:val="both"/>
              <w:rPr>
                <w:rFonts w:hint="default" w:ascii="Calibri" w:hAnsi="Calibri" w:cs="Calibri"/>
                <w:b/>
                <w:bCs/>
                <w:sz w:val="22"/>
                <w:szCs w:val="22"/>
                <w:vertAlign w:val="baseline"/>
                <w:lang w:val="pt-BR"/>
              </w:rPr>
            </w:pPr>
            <w:r>
              <w:rPr>
                <w:rFonts w:hint="default" w:ascii="Calibri" w:hAnsi="Calibri" w:cs="Calibri"/>
                <w:b/>
                <w:sz w:val="22"/>
                <w:szCs w:val="22"/>
              </w:rPr>
              <w:t>RAZÃO SOCIAL:</w:t>
            </w:r>
          </w:p>
        </w:tc>
        <w:tc>
          <w:tcPr>
            <w:tcW w:w="6564" w:type="dxa"/>
          </w:tcPr>
          <w:p w14:paraId="211E7BDF">
            <w:pPr>
              <w:rPr>
                <w:rFonts w:hint="default" w:ascii="Calibri" w:hAnsi="Calibri" w:cs="Calibri"/>
                <w:sz w:val="22"/>
                <w:szCs w:val="22"/>
                <w:vertAlign w:val="baseline"/>
                <w:lang w:val="pt-BR"/>
              </w:rPr>
            </w:pPr>
          </w:p>
        </w:tc>
      </w:tr>
      <w:tr w14:paraId="01D5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3" w:type="dxa"/>
            <w:vAlign w:val="top"/>
          </w:tcPr>
          <w:p w14:paraId="1024E78A">
            <w:pPr>
              <w:jc w:val="both"/>
              <w:rPr>
                <w:rFonts w:hint="default" w:ascii="Calibri" w:hAnsi="Calibri" w:cs="Calibri"/>
                <w:b/>
                <w:bCs/>
                <w:sz w:val="22"/>
                <w:szCs w:val="22"/>
                <w:vertAlign w:val="baseline"/>
                <w:lang w:val="pt-BR"/>
              </w:rPr>
            </w:pPr>
            <w:r>
              <w:rPr>
                <w:rFonts w:hint="default" w:ascii="Calibri" w:hAnsi="Calibri" w:cs="Calibri"/>
                <w:b/>
                <w:color w:val="000000"/>
                <w:sz w:val="22"/>
                <w:szCs w:val="22"/>
              </w:rPr>
              <w:t>ENDEREÇO COMPLETO:</w:t>
            </w:r>
          </w:p>
        </w:tc>
        <w:tc>
          <w:tcPr>
            <w:tcW w:w="6564" w:type="dxa"/>
          </w:tcPr>
          <w:p w14:paraId="59A8E8FA">
            <w:pPr>
              <w:rPr>
                <w:rFonts w:hint="default" w:ascii="Calibri" w:hAnsi="Calibri" w:cs="Calibri"/>
                <w:sz w:val="22"/>
                <w:szCs w:val="22"/>
                <w:vertAlign w:val="baseline"/>
                <w:lang w:val="pt-BR"/>
              </w:rPr>
            </w:pPr>
          </w:p>
        </w:tc>
      </w:tr>
      <w:tr w14:paraId="7620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3" w:type="dxa"/>
            <w:vAlign w:val="top"/>
          </w:tcPr>
          <w:p w14:paraId="4EB60780">
            <w:pPr>
              <w:jc w:val="both"/>
              <w:rPr>
                <w:rFonts w:hint="default" w:ascii="Calibri" w:hAnsi="Calibri" w:cs="Calibri"/>
                <w:b/>
                <w:bCs/>
                <w:sz w:val="22"/>
                <w:szCs w:val="22"/>
                <w:vertAlign w:val="baseline"/>
                <w:lang w:val="pt-BR"/>
              </w:rPr>
            </w:pPr>
            <w:r>
              <w:rPr>
                <w:rFonts w:hint="default" w:ascii="Calibri" w:hAnsi="Calibri" w:cs="Calibri"/>
                <w:b/>
                <w:color w:val="000000"/>
                <w:sz w:val="22"/>
                <w:szCs w:val="22"/>
              </w:rPr>
              <w:t>C.N.P.J.</w:t>
            </w:r>
          </w:p>
        </w:tc>
        <w:tc>
          <w:tcPr>
            <w:tcW w:w="6564" w:type="dxa"/>
          </w:tcPr>
          <w:p w14:paraId="26B9946E">
            <w:pPr>
              <w:rPr>
                <w:rFonts w:hint="default" w:ascii="Calibri" w:hAnsi="Calibri" w:cs="Calibri"/>
                <w:sz w:val="22"/>
                <w:szCs w:val="22"/>
                <w:vertAlign w:val="baseline"/>
                <w:lang w:val="pt-BR"/>
              </w:rPr>
            </w:pPr>
          </w:p>
        </w:tc>
      </w:tr>
      <w:tr w14:paraId="29BB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3" w:type="dxa"/>
            <w:vAlign w:val="top"/>
          </w:tcPr>
          <w:p w14:paraId="527E295A">
            <w:pPr>
              <w:jc w:val="both"/>
              <w:rPr>
                <w:rFonts w:hint="default" w:ascii="Calibri" w:hAnsi="Calibri" w:cs="Calibri"/>
                <w:b/>
                <w:bCs/>
                <w:sz w:val="22"/>
                <w:szCs w:val="22"/>
                <w:vertAlign w:val="baseline"/>
                <w:lang w:val="pt-BR"/>
              </w:rPr>
            </w:pPr>
            <w:r>
              <w:rPr>
                <w:rFonts w:hint="default" w:ascii="Calibri" w:hAnsi="Calibri" w:cs="Calibri"/>
                <w:b/>
                <w:color w:val="000000"/>
                <w:sz w:val="22"/>
                <w:szCs w:val="22"/>
              </w:rPr>
              <w:t>INSC. ESTADUAL:</w:t>
            </w:r>
          </w:p>
        </w:tc>
        <w:tc>
          <w:tcPr>
            <w:tcW w:w="6564" w:type="dxa"/>
          </w:tcPr>
          <w:p w14:paraId="7DB6FCB5">
            <w:pPr>
              <w:rPr>
                <w:rFonts w:hint="default" w:ascii="Calibri" w:hAnsi="Calibri" w:cs="Calibri"/>
                <w:sz w:val="22"/>
                <w:szCs w:val="22"/>
                <w:vertAlign w:val="baseline"/>
                <w:lang w:val="pt-BR"/>
              </w:rPr>
            </w:pPr>
          </w:p>
        </w:tc>
      </w:tr>
      <w:tr w14:paraId="1840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3" w:type="dxa"/>
            <w:vAlign w:val="top"/>
          </w:tcPr>
          <w:p w14:paraId="36AB0C8C">
            <w:pPr>
              <w:jc w:val="both"/>
              <w:rPr>
                <w:rFonts w:hint="default" w:ascii="Calibri" w:hAnsi="Calibri" w:cs="Calibri"/>
                <w:b/>
                <w:bCs/>
                <w:sz w:val="22"/>
                <w:szCs w:val="22"/>
                <w:vertAlign w:val="baseline"/>
                <w:lang w:val="pt-BR"/>
              </w:rPr>
            </w:pPr>
            <w:r>
              <w:rPr>
                <w:rFonts w:hint="default" w:ascii="Calibri" w:hAnsi="Calibri" w:cs="Calibri"/>
                <w:b/>
                <w:color w:val="000000"/>
                <w:sz w:val="22"/>
                <w:szCs w:val="22"/>
              </w:rPr>
              <w:t>CIDADE /ESTADO:</w:t>
            </w:r>
          </w:p>
        </w:tc>
        <w:tc>
          <w:tcPr>
            <w:tcW w:w="6564" w:type="dxa"/>
          </w:tcPr>
          <w:p w14:paraId="735BCCF2">
            <w:pPr>
              <w:rPr>
                <w:rFonts w:hint="default" w:ascii="Calibri" w:hAnsi="Calibri" w:cs="Calibri"/>
                <w:sz w:val="22"/>
                <w:szCs w:val="22"/>
                <w:vertAlign w:val="baseline"/>
                <w:lang w:val="pt-BR"/>
              </w:rPr>
            </w:pPr>
          </w:p>
        </w:tc>
      </w:tr>
      <w:tr w14:paraId="062E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3" w:type="dxa"/>
            <w:vAlign w:val="top"/>
          </w:tcPr>
          <w:p w14:paraId="2801EC9F">
            <w:pPr>
              <w:jc w:val="both"/>
              <w:rPr>
                <w:rFonts w:hint="default" w:ascii="Calibri" w:hAnsi="Calibri" w:cs="Calibri"/>
                <w:b/>
                <w:bCs/>
                <w:sz w:val="22"/>
                <w:szCs w:val="22"/>
                <w:vertAlign w:val="baseline"/>
                <w:lang w:val="pt-BR"/>
              </w:rPr>
            </w:pPr>
            <w:r>
              <w:rPr>
                <w:rFonts w:hint="default" w:ascii="Calibri" w:hAnsi="Calibri" w:cs="Calibri"/>
                <w:b/>
                <w:color w:val="000000"/>
                <w:sz w:val="22"/>
                <w:szCs w:val="22"/>
              </w:rPr>
              <w:t xml:space="preserve">CEP: </w:t>
            </w:r>
          </w:p>
        </w:tc>
        <w:tc>
          <w:tcPr>
            <w:tcW w:w="6564" w:type="dxa"/>
          </w:tcPr>
          <w:p w14:paraId="0EDF169B">
            <w:pPr>
              <w:rPr>
                <w:rFonts w:hint="default" w:ascii="Calibri" w:hAnsi="Calibri" w:cs="Calibri"/>
                <w:sz w:val="22"/>
                <w:szCs w:val="22"/>
                <w:vertAlign w:val="baseline"/>
                <w:lang w:val="pt-BR"/>
              </w:rPr>
            </w:pPr>
          </w:p>
        </w:tc>
      </w:tr>
      <w:tr w14:paraId="6295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3" w:type="dxa"/>
            <w:vAlign w:val="top"/>
          </w:tcPr>
          <w:p w14:paraId="07CE345B">
            <w:pPr>
              <w:jc w:val="both"/>
              <w:rPr>
                <w:rFonts w:hint="default" w:ascii="Calibri" w:hAnsi="Calibri" w:cs="Calibri" w:eastAsiaTheme="minorEastAsia"/>
                <w:b/>
                <w:color w:val="000000"/>
                <w:sz w:val="22"/>
                <w:szCs w:val="22"/>
                <w:lang w:val="pt-BR" w:eastAsia="pt-BR" w:bidi="ar-SA"/>
              </w:rPr>
            </w:pPr>
            <w:r>
              <w:rPr>
                <w:rFonts w:hint="default" w:ascii="Calibri" w:hAnsi="Calibri" w:cs="Calibri"/>
                <w:b/>
                <w:color w:val="000000"/>
                <w:sz w:val="22"/>
                <w:szCs w:val="22"/>
              </w:rPr>
              <w:t>EMAIL:</w:t>
            </w:r>
          </w:p>
        </w:tc>
        <w:tc>
          <w:tcPr>
            <w:tcW w:w="6564" w:type="dxa"/>
          </w:tcPr>
          <w:p w14:paraId="31CC9E12">
            <w:pPr>
              <w:rPr>
                <w:rFonts w:hint="default" w:ascii="Calibri" w:hAnsi="Calibri" w:cs="Calibri"/>
                <w:sz w:val="22"/>
                <w:szCs w:val="22"/>
                <w:vertAlign w:val="baseline"/>
                <w:lang w:val="pt-BR"/>
              </w:rPr>
            </w:pPr>
          </w:p>
        </w:tc>
      </w:tr>
      <w:tr w14:paraId="6AB3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3" w:type="dxa"/>
            <w:vAlign w:val="top"/>
          </w:tcPr>
          <w:p w14:paraId="4146A2B0">
            <w:pPr>
              <w:jc w:val="both"/>
              <w:rPr>
                <w:rFonts w:hint="default" w:ascii="Calibri" w:hAnsi="Calibri" w:cs="Calibri" w:eastAsiaTheme="minorEastAsia"/>
                <w:b/>
                <w:color w:val="000000"/>
                <w:sz w:val="22"/>
                <w:szCs w:val="22"/>
                <w:lang w:val="pt-BR" w:eastAsia="pt-BR" w:bidi="ar-SA"/>
              </w:rPr>
            </w:pPr>
            <w:r>
              <w:rPr>
                <w:rFonts w:hint="default" w:ascii="Calibri" w:hAnsi="Calibri" w:cs="Calibri"/>
                <w:b/>
                <w:color w:val="000000"/>
                <w:sz w:val="22"/>
                <w:szCs w:val="22"/>
                <w:lang w:val="pt-BR"/>
              </w:rPr>
              <w:t>FONE:</w:t>
            </w:r>
          </w:p>
        </w:tc>
        <w:tc>
          <w:tcPr>
            <w:tcW w:w="6564" w:type="dxa"/>
          </w:tcPr>
          <w:p w14:paraId="39C5D2DF">
            <w:pPr>
              <w:rPr>
                <w:rFonts w:hint="default" w:ascii="Calibri" w:hAnsi="Calibri" w:cs="Calibri"/>
                <w:sz w:val="22"/>
                <w:szCs w:val="22"/>
                <w:vertAlign w:val="baseline"/>
                <w:lang w:val="pt-BR"/>
              </w:rPr>
            </w:pPr>
          </w:p>
        </w:tc>
      </w:tr>
      <w:tr w14:paraId="1F56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3" w:type="dxa"/>
            <w:vAlign w:val="top"/>
          </w:tcPr>
          <w:p w14:paraId="1F1CC530">
            <w:pPr>
              <w:rPr>
                <w:rFonts w:hint="default" w:ascii="Calibri" w:hAnsi="Calibri" w:cs="Calibri" w:eastAsiaTheme="minorEastAsia"/>
                <w:b/>
                <w:bCs/>
                <w:sz w:val="22"/>
                <w:szCs w:val="22"/>
                <w:vertAlign w:val="baseline"/>
                <w:lang w:val="pt-BR" w:eastAsia="pt-BR" w:bidi="ar-SA"/>
              </w:rPr>
            </w:pPr>
            <w:r>
              <w:rPr>
                <w:rFonts w:hint="default" w:ascii="Calibri" w:hAnsi="Calibri" w:cs="Calibri"/>
                <w:b/>
                <w:bCs/>
                <w:sz w:val="22"/>
                <w:szCs w:val="22"/>
                <w:vertAlign w:val="baseline"/>
                <w:lang w:val="pt-BR"/>
              </w:rPr>
              <w:t>REPRESENTANTE LEGAL</w:t>
            </w:r>
          </w:p>
        </w:tc>
        <w:tc>
          <w:tcPr>
            <w:tcW w:w="6564" w:type="dxa"/>
          </w:tcPr>
          <w:p w14:paraId="0F873A4D">
            <w:pPr>
              <w:rPr>
                <w:rFonts w:hint="default" w:ascii="Calibri" w:hAnsi="Calibri" w:cs="Calibri"/>
                <w:sz w:val="22"/>
                <w:szCs w:val="22"/>
                <w:vertAlign w:val="baseline"/>
                <w:lang w:val="pt-BR"/>
              </w:rPr>
            </w:pPr>
          </w:p>
        </w:tc>
      </w:tr>
      <w:tr w14:paraId="6975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3" w:type="dxa"/>
            <w:vAlign w:val="top"/>
          </w:tcPr>
          <w:p w14:paraId="31A3AA19">
            <w:pPr>
              <w:rPr>
                <w:rFonts w:hint="default" w:ascii="Calibri" w:hAnsi="Calibri" w:cs="Calibri" w:eastAsiaTheme="minorEastAsia"/>
                <w:b/>
                <w:bCs/>
                <w:sz w:val="22"/>
                <w:szCs w:val="22"/>
                <w:vertAlign w:val="baseline"/>
                <w:lang w:val="pt-BR" w:eastAsia="pt-BR" w:bidi="ar-SA"/>
              </w:rPr>
            </w:pPr>
            <w:r>
              <w:rPr>
                <w:rFonts w:hint="default" w:ascii="Calibri" w:hAnsi="Calibri" w:cs="Calibri"/>
                <w:b/>
                <w:bCs/>
                <w:sz w:val="22"/>
                <w:szCs w:val="22"/>
                <w:vertAlign w:val="baseline"/>
                <w:lang w:val="pt-BR"/>
              </w:rPr>
              <w:t>CPF/MF</w:t>
            </w:r>
          </w:p>
        </w:tc>
        <w:tc>
          <w:tcPr>
            <w:tcW w:w="6564" w:type="dxa"/>
          </w:tcPr>
          <w:p w14:paraId="7AF69DFE">
            <w:pPr>
              <w:rPr>
                <w:rFonts w:hint="default" w:ascii="Calibri" w:hAnsi="Calibri" w:cs="Calibri"/>
                <w:sz w:val="22"/>
                <w:szCs w:val="22"/>
                <w:vertAlign w:val="baseline"/>
                <w:lang w:val="pt-BR"/>
              </w:rPr>
            </w:pPr>
          </w:p>
        </w:tc>
      </w:tr>
      <w:tr w14:paraId="6BF9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gridSpan w:val="2"/>
            <w:shd w:val="clear" w:color="auto" w:fill="D7D7D7" w:themeFill="background1" w:themeFillShade="D8"/>
            <w:vAlign w:val="center"/>
          </w:tcPr>
          <w:p w14:paraId="33F85CE0">
            <w:pPr>
              <w:jc w:val="center"/>
              <w:rPr>
                <w:rFonts w:hint="default" w:ascii="Calibri" w:hAnsi="Calibri" w:cs="Calibri"/>
                <w:b/>
                <w:bCs/>
                <w:sz w:val="22"/>
                <w:szCs w:val="22"/>
                <w:vertAlign w:val="baseline"/>
                <w:lang w:val="pt-BR"/>
              </w:rPr>
            </w:pPr>
            <w:r>
              <w:rPr>
                <w:rFonts w:hint="default" w:ascii="Calibri" w:hAnsi="Calibri" w:cs="Calibri"/>
                <w:b/>
                <w:bCs/>
                <w:sz w:val="22"/>
                <w:szCs w:val="22"/>
                <w:vertAlign w:val="baseline"/>
                <w:lang w:val="pt-BR"/>
              </w:rPr>
              <w:t>DADOS BANCÁRIOS</w:t>
            </w:r>
          </w:p>
        </w:tc>
      </w:tr>
      <w:tr w14:paraId="2EFD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3" w:type="dxa"/>
            <w:vAlign w:val="top"/>
          </w:tcPr>
          <w:p w14:paraId="1CC6AE14">
            <w:pPr>
              <w:rPr>
                <w:rFonts w:hint="default" w:ascii="Calibri" w:hAnsi="Calibri" w:cs="Calibri" w:eastAsiaTheme="minorEastAsia"/>
                <w:b/>
                <w:bCs/>
                <w:sz w:val="22"/>
                <w:szCs w:val="22"/>
                <w:vertAlign w:val="baseline"/>
                <w:lang w:val="pt-BR" w:eastAsia="pt-BR" w:bidi="ar-SA"/>
              </w:rPr>
            </w:pPr>
            <w:r>
              <w:rPr>
                <w:rFonts w:hint="default" w:ascii="Calibri" w:hAnsi="Calibri" w:cs="Calibri"/>
                <w:b/>
                <w:bCs/>
                <w:sz w:val="22"/>
                <w:szCs w:val="22"/>
                <w:vertAlign w:val="baseline"/>
                <w:lang w:val="pt-BR"/>
              </w:rPr>
              <w:t>BANCO</w:t>
            </w:r>
          </w:p>
        </w:tc>
        <w:tc>
          <w:tcPr>
            <w:tcW w:w="6564" w:type="dxa"/>
          </w:tcPr>
          <w:p w14:paraId="3C72E03F">
            <w:pPr>
              <w:rPr>
                <w:rFonts w:hint="default" w:ascii="Calibri" w:hAnsi="Calibri" w:cs="Calibri"/>
                <w:sz w:val="22"/>
                <w:szCs w:val="22"/>
                <w:vertAlign w:val="baseline"/>
                <w:lang w:val="pt-BR"/>
              </w:rPr>
            </w:pPr>
          </w:p>
        </w:tc>
      </w:tr>
      <w:tr w14:paraId="5A3A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3" w:type="dxa"/>
            <w:vAlign w:val="top"/>
          </w:tcPr>
          <w:p w14:paraId="0B0738C1">
            <w:pPr>
              <w:rPr>
                <w:rFonts w:hint="default" w:ascii="Calibri" w:hAnsi="Calibri" w:cs="Calibri" w:eastAsiaTheme="minorEastAsia"/>
                <w:b/>
                <w:bCs/>
                <w:sz w:val="22"/>
                <w:szCs w:val="22"/>
                <w:vertAlign w:val="baseline"/>
                <w:lang w:val="pt-BR" w:eastAsia="pt-BR" w:bidi="ar-SA"/>
              </w:rPr>
            </w:pPr>
            <w:r>
              <w:rPr>
                <w:rFonts w:hint="default" w:ascii="Calibri" w:hAnsi="Calibri" w:cs="Calibri"/>
                <w:b/>
                <w:bCs/>
                <w:sz w:val="22"/>
                <w:szCs w:val="22"/>
                <w:vertAlign w:val="baseline"/>
                <w:lang w:val="pt-BR"/>
              </w:rPr>
              <w:t>AGÊNCIA</w:t>
            </w:r>
          </w:p>
        </w:tc>
        <w:tc>
          <w:tcPr>
            <w:tcW w:w="6564" w:type="dxa"/>
          </w:tcPr>
          <w:p w14:paraId="0154784D">
            <w:pPr>
              <w:rPr>
                <w:rFonts w:hint="default" w:ascii="Calibri" w:hAnsi="Calibri" w:cs="Calibri"/>
                <w:sz w:val="22"/>
                <w:szCs w:val="22"/>
                <w:vertAlign w:val="baseline"/>
                <w:lang w:val="pt-BR"/>
              </w:rPr>
            </w:pPr>
          </w:p>
        </w:tc>
      </w:tr>
      <w:tr w14:paraId="3919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3" w:type="dxa"/>
            <w:vAlign w:val="top"/>
          </w:tcPr>
          <w:p w14:paraId="4DAA0F67">
            <w:pPr>
              <w:rPr>
                <w:rFonts w:hint="default" w:ascii="Calibri" w:hAnsi="Calibri" w:cs="Calibri" w:eastAsiaTheme="minorEastAsia"/>
                <w:b/>
                <w:bCs/>
                <w:sz w:val="22"/>
                <w:szCs w:val="22"/>
                <w:vertAlign w:val="baseline"/>
                <w:lang w:val="pt-BR" w:eastAsia="pt-BR" w:bidi="ar-SA"/>
              </w:rPr>
            </w:pPr>
            <w:r>
              <w:rPr>
                <w:rFonts w:hint="default" w:ascii="Calibri" w:hAnsi="Calibri" w:cs="Calibri"/>
                <w:b/>
                <w:bCs/>
                <w:sz w:val="22"/>
                <w:szCs w:val="22"/>
                <w:vertAlign w:val="baseline"/>
                <w:lang w:val="pt-BR"/>
              </w:rPr>
              <w:t>CONTA</w:t>
            </w:r>
          </w:p>
        </w:tc>
        <w:tc>
          <w:tcPr>
            <w:tcW w:w="6564" w:type="dxa"/>
          </w:tcPr>
          <w:p w14:paraId="2C39D410">
            <w:pPr>
              <w:rPr>
                <w:rFonts w:hint="default" w:ascii="Calibri" w:hAnsi="Calibri" w:cs="Calibri"/>
                <w:sz w:val="22"/>
                <w:szCs w:val="22"/>
                <w:vertAlign w:val="baseline"/>
                <w:lang w:val="pt-BR"/>
              </w:rPr>
            </w:pPr>
          </w:p>
        </w:tc>
      </w:tr>
    </w:tbl>
    <w:p w14:paraId="72E5550E">
      <w:pPr>
        <w:rPr>
          <w:rFonts w:hint="default" w:ascii="Calibri" w:hAnsi="Calibri" w:cs="Calibri"/>
        </w:rPr>
      </w:pPr>
    </w:p>
    <w:tbl>
      <w:tblPr>
        <w:tblStyle w:val="133"/>
        <w:tblpPr w:leftFromText="141" w:rightFromText="141" w:vertAnchor="text" w:horzAnchor="margin" w:tblpX="-103" w:tblpY="67"/>
        <w:tblW w:w="92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4"/>
        <w:gridCol w:w="705"/>
        <w:gridCol w:w="3005"/>
        <w:gridCol w:w="1013"/>
        <w:gridCol w:w="1155"/>
        <w:gridCol w:w="1292"/>
        <w:gridCol w:w="1474"/>
      </w:tblGrid>
      <w:tr w14:paraId="0A75A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644" w:type="dxa"/>
            <w:shd w:val="clear" w:color="auto" w:fill="F6CBD3"/>
            <w:vAlign w:val="center"/>
          </w:tcPr>
          <w:p w14:paraId="3F5AC7F9">
            <w:pPr>
              <w:pStyle w:val="132"/>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Arial Nova Cond" w:hAnsi="Arial Nova Cond" w:cs="Arial Nova Cond"/>
                <w:b/>
                <w:bCs/>
                <w:sz w:val="18"/>
                <w:szCs w:val="18"/>
                <w:lang w:val="pt-BR"/>
              </w:rPr>
            </w:pPr>
            <w:r>
              <w:rPr>
                <w:rFonts w:hint="default" w:ascii="Arial Nova Cond" w:hAnsi="Arial Nova Cond" w:cs="Arial Nova Cond"/>
                <w:b/>
                <w:bCs/>
                <w:sz w:val="18"/>
                <w:szCs w:val="18"/>
                <w:lang w:val="pt-BR"/>
              </w:rPr>
              <w:t>LOTE</w:t>
            </w:r>
          </w:p>
        </w:tc>
        <w:tc>
          <w:tcPr>
            <w:tcW w:w="705" w:type="dxa"/>
            <w:shd w:val="clear" w:color="auto" w:fill="F6CBD3"/>
            <w:vAlign w:val="center"/>
          </w:tcPr>
          <w:p w14:paraId="1D49E5A3">
            <w:pPr>
              <w:pStyle w:val="132"/>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Arial Nova Cond" w:hAnsi="Arial Nova Cond" w:eastAsia="Calibri" w:cs="Arial Nova Cond"/>
                <w:b/>
                <w:bCs/>
                <w:sz w:val="18"/>
                <w:szCs w:val="18"/>
                <w:lang w:val="pt-PT" w:eastAsia="pt-BR" w:bidi="ar-SA"/>
              </w:rPr>
            </w:pPr>
            <w:r>
              <w:rPr>
                <w:rFonts w:hint="default" w:ascii="Arial Nova Cond" w:hAnsi="Arial Nova Cond" w:cs="Arial Nova Cond"/>
                <w:b/>
                <w:bCs/>
                <w:sz w:val="18"/>
                <w:szCs w:val="18"/>
              </w:rPr>
              <w:t>Item</w:t>
            </w:r>
          </w:p>
        </w:tc>
        <w:tc>
          <w:tcPr>
            <w:tcW w:w="3005" w:type="dxa"/>
            <w:shd w:val="clear" w:color="auto" w:fill="F6CBD3"/>
            <w:vAlign w:val="center"/>
          </w:tcPr>
          <w:p w14:paraId="0549BF57">
            <w:pPr>
              <w:pStyle w:val="132"/>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hanging="65" w:firstLineChars="0"/>
              <w:jc w:val="center"/>
              <w:textAlignment w:val="auto"/>
              <w:rPr>
                <w:rFonts w:hint="default" w:ascii="Arial Nova Cond" w:hAnsi="Arial Nova Cond" w:eastAsia="Calibri" w:cs="Arial Nova Cond"/>
                <w:b/>
                <w:bCs/>
                <w:sz w:val="18"/>
                <w:szCs w:val="18"/>
                <w:lang w:val="pt-PT" w:eastAsia="pt-BR" w:bidi="ar-SA"/>
              </w:rPr>
            </w:pPr>
            <w:r>
              <w:rPr>
                <w:rFonts w:hint="default" w:ascii="Arial Nova Cond" w:hAnsi="Arial Nova Cond" w:cs="Arial Nova Cond"/>
                <w:b/>
                <w:bCs/>
                <w:sz w:val="18"/>
                <w:szCs w:val="18"/>
              </w:rPr>
              <w:t>Descrição do</w:t>
            </w:r>
            <w:r>
              <w:rPr>
                <w:rFonts w:hint="default" w:ascii="Arial Nova Cond" w:hAnsi="Arial Nova Cond" w:cs="Arial Nova Cond"/>
                <w:b/>
                <w:bCs/>
                <w:spacing w:val="1"/>
                <w:sz w:val="18"/>
                <w:szCs w:val="18"/>
              </w:rPr>
              <w:t xml:space="preserve"> </w:t>
            </w:r>
            <w:r>
              <w:rPr>
                <w:rFonts w:hint="default" w:ascii="Arial Nova Cond" w:hAnsi="Arial Nova Cond" w:cs="Arial Nova Cond"/>
                <w:b/>
                <w:bCs/>
                <w:sz w:val="18"/>
                <w:szCs w:val="18"/>
              </w:rPr>
              <w:t>objeto/serviço</w:t>
            </w:r>
          </w:p>
        </w:tc>
        <w:tc>
          <w:tcPr>
            <w:tcW w:w="1013" w:type="dxa"/>
            <w:shd w:val="clear" w:color="auto" w:fill="F6CBD3"/>
            <w:vAlign w:val="center"/>
          </w:tcPr>
          <w:p w14:paraId="4B776FC7">
            <w:pPr>
              <w:pStyle w:val="132"/>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Arial Nova Cond" w:hAnsi="Arial Nova Cond" w:cs="Arial Nova Cond"/>
                <w:b/>
                <w:bCs/>
                <w:sz w:val="18"/>
                <w:szCs w:val="18"/>
                <w:lang w:val="pt-BR"/>
              </w:rPr>
            </w:pPr>
            <w:r>
              <w:rPr>
                <w:rFonts w:hint="default" w:ascii="Arial Nova Cond" w:hAnsi="Arial Nova Cond" w:cs="Arial Nova Cond"/>
                <w:b/>
                <w:bCs/>
                <w:sz w:val="18"/>
                <w:szCs w:val="18"/>
                <w:lang w:val="pt-BR"/>
              </w:rPr>
              <w:t>MARCA</w:t>
            </w:r>
          </w:p>
        </w:tc>
        <w:tc>
          <w:tcPr>
            <w:tcW w:w="1155" w:type="dxa"/>
            <w:shd w:val="clear" w:color="auto" w:fill="F6CBD3"/>
            <w:vAlign w:val="center"/>
          </w:tcPr>
          <w:p w14:paraId="4C778AA8">
            <w:pPr>
              <w:pStyle w:val="132"/>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Arial Nova Cond" w:hAnsi="Arial Nova Cond" w:eastAsia="Calibri" w:cs="Arial Nova Cond"/>
                <w:b/>
                <w:bCs/>
                <w:sz w:val="18"/>
                <w:szCs w:val="18"/>
                <w:lang w:val="pt-PT" w:eastAsia="pt-BR" w:bidi="ar-SA"/>
              </w:rPr>
            </w:pPr>
            <w:r>
              <w:rPr>
                <w:rFonts w:hint="default" w:ascii="Arial Nova Cond" w:hAnsi="Arial Nova Cond" w:cs="Arial Nova Cond"/>
                <w:b/>
                <w:bCs/>
                <w:sz w:val="18"/>
                <w:szCs w:val="18"/>
              </w:rPr>
              <w:t xml:space="preserve">Quantidade </w:t>
            </w:r>
          </w:p>
        </w:tc>
        <w:tc>
          <w:tcPr>
            <w:tcW w:w="1292" w:type="dxa"/>
            <w:shd w:val="clear" w:color="auto" w:fill="F6CBD3"/>
            <w:vAlign w:val="center"/>
          </w:tcPr>
          <w:p w14:paraId="4AD60417">
            <w:pPr>
              <w:pStyle w:val="132"/>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Arial Nova Cond" w:hAnsi="Arial Nova Cond" w:eastAsia="Calibri" w:cs="Arial Nova Cond"/>
                <w:b/>
                <w:bCs/>
                <w:sz w:val="18"/>
                <w:szCs w:val="18"/>
                <w:lang w:val="pt-BR" w:eastAsia="pt-BR" w:bidi="ar-SA"/>
              </w:rPr>
            </w:pPr>
            <w:r>
              <w:rPr>
                <w:rFonts w:hint="default" w:ascii="Arial Nova Cond" w:hAnsi="Arial Nova Cond" w:cs="Arial Nova Cond"/>
                <w:b/>
                <w:bCs/>
                <w:sz w:val="18"/>
                <w:szCs w:val="18"/>
              </w:rPr>
              <w:t>Valor</w:t>
            </w:r>
            <w:r>
              <w:rPr>
                <w:rFonts w:hint="default" w:ascii="Arial Nova Cond" w:hAnsi="Arial Nova Cond" w:cs="Arial Nova Cond"/>
                <w:b/>
                <w:bCs/>
                <w:spacing w:val="-8"/>
                <w:sz w:val="18"/>
                <w:szCs w:val="18"/>
              </w:rPr>
              <w:t xml:space="preserve"> </w:t>
            </w:r>
            <w:r>
              <w:rPr>
                <w:rFonts w:hint="default" w:ascii="Arial Nova Cond" w:hAnsi="Arial Nova Cond" w:cs="Arial Nova Cond"/>
                <w:b/>
                <w:bCs/>
                <w:sz w:val="18"/>
                <w:szCs w:val="18"/>
                <w:lang w:val="pt-BR"/>
              </w:rPr>
              <w:t xml:space="preserve"> Unitário </w:t>
            </w:r>
          </w:p>
        </w:tc>
        <w:tc>
          <w:tcPr>
            <w:tcW w:w="1474" w:type="dxa"/>
            <w:shd w:val="clear" w:color="auto" w:fill="F6CBD3"/>
            <w:vAlign w:val="center"/>
          </w:tcPr>
          <w:p w14:paraId="33D65B12">
            <w:pPr>
              <w:pStyle w:val="132"/>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Arial Nova Cond" w:hAnsi="Arial Nova Cond" w:eastAsia="Calibri" w:cs="Arial Nova Cond"/>
                <w:b/>
                <w:bCs/>
                <w:sz w:val="18"/>
                <w:szCs w:val="18"/>
                <w:lang w:val="pt-PT" w:eastAsia="pt-BR" w:bidi="ar-SA"/>
              </w:rPr>
            </w:pPr>
            <w:r>
              <w:rPr>
                <w:rFonts w:hint="default" w:ascii="Arial Nova Cond" w:hAnsi="Arial Nova Cond" w:cs="Arial Nova Cond"/>
                <w:b/>
                <w:bCs/>
                <w:spacing w:val="-1"/>
                <w:sz w:val="18"/>
                <w:szCs w:val="18"/>
              </w:rPr>
              <w:t xml:space="preserve">Valor </w:t>
            </w:r>
            <w:r>
              <w:rPr>
                <w:rFonts w:hint="default" w:ascii="Arial Nova Cond" w:hAnsi="Arial Nova Cond" w:cs="Arial Nova Cond"/>
                <w:b/>
                <w:bCs/>
                <w:sz w:val="18"/>
                <w:szCs w:val="18"/>
              </w:rPr>
              <w:t>Total</w:t>
            </w:r>
          </w:p>
        </w:tc>
      </w:tr>
      <w:tr w14:paraId="67B86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44" w:type="dxa"/>
            <w:vAlign w:val="center"/>
          </w:tcPr>
          <w:p w14:paraId="450A38C0">
            <w:pPr>
              <w:pStyle w:val="132"/>
              <w:keepNext w:val="0"/>
              <w:keepLines w:val="0"/>
              <w:pageBreakBefore w:val="0"/>
              <w:kinsoku/>
              <w:wordWrap/>
              <w:overflowPunct/>
              <w:topLinePunct w:val="0"/>
              <w:bidi w:val="0"/>
              <w:adjustRightInd/>
              <w:snapToGrid/>
              <w:spacing w:line="240" w:lineRule="auto"/>
              <w:ind w:left="171" w:right="156"/>
              <w:jc w:val="center"/>
              <w:rPr>
                <w:rFonts w:hint="default" w:ascii="Calibri" w:hAnsi="Calibri" w:cs="Calibri"/>
                <w:sz w:val="18"/>
                <w:szCs w:val="18"/>
              </w:rPr>
            </w:pPr>
          </w:p>
        </w:tc>
        <w:tc>
          <w:tcPr>
            <w:tcW w:w="705" w:type="dxa"/>
            <w:vAlign w:val="center"/>
          </w:tcPr>
          <w:p w14:paraId="466CF059">
            <w:pPr>
              <w:pStyle w:val="132"/>
              <w:keepNext w:val="0"/>
              <w:keepLines w:val="0"/>
              <w:pageBreakBefore w:val="0"/>
              <w:kinsoku/>
              <w:wordWrap/>
              <w:overflowPunct/>
              <w:topLinePunct w:val="0"/>
              <w:bidi w:val="0"/>
              <w:adjustRightInd/>
              <w:snapToGrid/>
              <w:spacing w:line="240" w:lineRule="auto"/>
              <w:ind w:left="171" w:right="156"/>
              <w:jc w:val="center"/>
              <w:rPr>
                <w:rFonts w:hint="default" w:ascii="Calibri" w:hAnsi="Calibri" w:cs="Calibri"/>
                <w:sz w:val="18"/>
                <w:szCs w:val="18"/>
              </w:rPr>
            </w:pPr>
          </w:p>
        </w:tc>
        <w:tc>
          <w:tcPr>
            <w:tcW w:w="3005" w:type="dxa"/>
            <w:vAlign w:val="top"/>
          </w:tcPr>
          <w:p w14:paraId="11914F48">
            <w:pPr>
              <w:pStyle w:val="132"/>
              <w:keepNext w:val="0"/>
              <w:keepLines w:val="0"/>
              <w:pageBreakBefore w:val="0"/>
              <w:widowControl w:val="0"/>
              <w:kinsoku/>
              <w:wordWrap/>
              <w:overflowPunct/>
              <w:topLinePunct w:val="0"/>
              <w:autoSpaceDE w:val="0"/>
              <w:autoSpaceDN w:val="0"/>
              <w:bidi w:val="0"/>
              <w:adjustRightInd/>
              <w:snapToGrid/>
              <w:ind w:left="120" w:leftChars="50" w:right="120" w:rightChars="50"/>
              <w:jc w:val="both"/>
              <w:textAlignment w:val="auto"/>
              <w:rPr>
                <w:rFonts w:hint="default" w:ascii="Arial Nova Cond" w:hAnsi="Arial Nova Cond" w:cs="Arial Nova Cond"/>
                <w:sz w:val="18"/>
                <w:szCs w:val="18"/>
              </w:rPr>
            </w:pPr>
          </w:p>
        </w:tc>
        <w:tc>
          <w:tcPr>
            <w:tcW w:w="1013" w:type="dxa"/>
            <w:vAlign w:val="center"/>
          </w:tcPr>
          <w:p w14:paraId="249306CA">
            <w:pPr>
              <w:pStyle w:val="132"/>
              <w:keepNext w:val="0"/>
              <w:keepLines w:val="0"/>
              <w:pageBreakBefore w:val="0"/>
              <w:kinsoku/>
              <w:wordWrap/>
              <w:overflowPunct/>
              <w:topLinePunct w:val="0"/>
              <w:bidi w:val="0"/>
              <w:adjustRightInd/>
              <w:snapToGrid/>
              <w:spacing w:line="240" w:lineRule="auto"/>
              <w:ind w:left="361" w:right="345"/>
              <w:jc w:val="center"/>
              <w:rPr>
                <w:rFonts w:hint="default" w:ascii="Calibri" w:hAnsi="Calibri" w:cs="Calibri"/>
                <w:sz w:val="18"/>
                <w:szCs w:val="18"/>
              </w:rPr>
            </w:pPr>
          </w:p>
        </w:tc>
        <w:tc>
          <w:tcPr>
            <w:tcW w:w="1155" w:type="dxa"/>
            <w:vAlign w:val="center"/>
          </w:tcPr>
          <w:p w14:paraId="60329248">
            <w:pPr>
              <w:pStyle w:val="132"/>
              <w:keepNext w:val="0"/>
              <w:keepLines w:val="0"/>
              <w:pageBreakBefore w:val="0"/>
              <w:kinsoku/>
              <w:wordWrap/>
              <w:overflowPunct/>
              <w:topLinePunct w:val="0"/>
              <w:bidi w:val="0"/>
              <w:adjustRightInd/>
              <w:snapToGrid/>
              <w:spacing w:line="240" w:lineRule="auto"/>
              <w:ind w:left="361" w:right="345"/>
              <w:jc w:val="center"/>
              <w:rPr>
                <w:rFonts w:hint="default" w:ascii="Calibri" w:hAnsi="Calibri" w:cs="Calibri"/>
                <w:sz w:val="18"/>
                <w:szCs w:val="18"/>
              </w:rPr>
            </w:pPr>
          </w:p>
        </w:tc>
        <w:tc>
          <w:tcPr>
            <w:tcW w:w="1292" w:type="dxa"/>
            <w:vAlign w:val="center"/>
          </w:tcPr>
          <w:p w14:paraId="58E6887E">
            <w:pPr>
              <w:keepNext w:val="0"/>
              <w:keepLines w:val="0"/>
              <w:widowControl/>
              <w:suppressLineNumbers w:val="0"/>
              <w:autoSpaceDE w:val="0"/>
              <w:autoSpaceDN w:val="0"/>
              <w:jc w:val="center"/>
              <w:textAlignment w:val="center"/>
              <w:rPr>
                <w:rFonts w:hint="default" w:ascii="Calibri" w:hAnsi="Calibri" w:cs="Calibri"/>
                <w:sz w:val="18"/>
                <w:szCs w:val="18"/>
                <w:lang w:val="pt-PT"/>
              </w:rPr>
            </w:pPr>
          </w:p>
        </w:tc>
        <w:tc>
          <w:tcPr>
            <w:tcW w:w="1474" w:type="dxa"/>
            <w:vAlign w:val="center"/>
          </w:tcPr>
          <w:p w14:paraId="698C0F6B">
            <w:pPr>
              <w:keepNext w:val="0"/>
              <w:keepLines w:val="0"/>
              <w:widowControl/>
              <w:suppressLineNumbers w:val="0"/>
              <w:autoSpaceDE w:val="0"/>
              <w:autoSpaceDN w:val="0"/>
              <w:jc w:val="center"/>
              <w:textAlignment w:val="center"/>
              <w:rPr>
                <w:rFonts w:hint="default" w:ascii="Calibri" w:hAnsi="Calibri" w:cs="Calibri"/>
                <w:sz w:val="18"/>
                <w:szCs w:val="18"/>
                <w:lang w:val="pt-PT"/>
              </w:rPr>
            </w:pPr>
          </w:p>
        </w:tc>
      </w:tr>
      <w:tr w14:paraId="02796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trPr>
        <w:tc>
          <w:tcPr>
            <w:tcW w:w="644" w:type="dxa"/>
            <w:vAlign w:val="center"/>
          </w:tcPr>
          <w:p w14:paraId="06D3BA1C">
            <w:pPr>
              <w:pStyle w:val="132"/>
              <w:keepNext w:val="0"/>
              <w:keepLines w:val="0"/>
              <w:pageBreakBefore w:val="0"/>
              <w:kinsoku/>
              <w:wordWrap/>
              <w:overflowPunct/>
              <w:topLinePunct w:val="0"/>
              <w:bidi w:val="0"/>
              <w:adjustRightInd/>
              <w:snapToGrid/>
              <w:spacing w:line="240" w:lineRule="auto"/>
              <w:ind w:left="171" w:right="156"/>
              <w:jc w:val="center"/>
              <w:rPr>
                <w:rFonts w:hint="default" w:ascii="Calibri" w:hAnsi="Calibri" w:cs="Calibri"/>
                <w:sz w:val="18"/>
                <w:szCs w:val="18"/>
              </w:rPr>
            </w:pPr>
          </w:p>
        </w:tc>
        <w:tc>
          <w:tcPr>
            <w:tcW w:w="705" w:type="dxa"/>
            <w:vAlign w:val="center"/>
          </w:tcPr>
          <w:p w14:paraId="3AD71667">
            <w:pPr>
              <w:pStyle w:val="132"/>
              <w:keepNext w:val="0"/>
              <w:keepLines w:val="0"/>
              <w:pageBreakBefore w:val="0"/>
              <w:kinsoku/>
              <w:wordWrap/>
              <w:overflowPunct/>
              <w:topLinePunct w:val="0"/>
              <w:bidi w:val="0"/>
              <w:adjustRightInd/>
              <w:snapToGrid/>
              <w:spacing w:line="240" w:lineRule="auto"/>
              <w:ind w:left="171" w:right="156"/>
              <w:jc w:val="center"/>
              <w:rPr>
                <w:rFonts w:hint="default" w:ascii="Calibri" w:hAnsi="Calibri" w:cs="Calibri"/>
                <w:sz w:val="18"/>
                <w:szCs w:val="18"/>
              </w:rPr>
            </w:pPr>
          </w:p>
        </w:tc>
        <w:tc>
          <w:tcPr>
            <w:tcW w:w="3005" w:type="dxa"/>
            <w:vAlign w:val="top"/>
          </w:tcPr>
          <w:p w14:paraId="39E060D3">
            <w:pPr>
              <w:pStyle w:val="132"/>
              <w:keepNext w:val="0"/>
              <w:keepLines w:val="0"/>
              <w:pageBreakBefore w:val="0"/>
              <w:widowControl w:val="0"/>
              <w:kinsoku/>
              <w:wordWrap/>
              <w:overflowPunct/>
              <w:topLinePunct w:val="0"/>
              <w:autoSpaceDE w:val="0"/>
              <w:autoSpaceDN w:val="0"/>
              <w:bidi w:val="0"/>
              <w:adjustRightInd/>
              <w:snapToGrid/>
              <w:ind w:left="120" w:leftChars="50" w:right="120" w:rightChars="50"/>
              <w:jc w:val="both"/>
              <w:textAlignment w:val="auto"/>
              <w:rPr>
                <w:rFonts w:hint="default" w:ascii="Arial Nova Cond" w:hAnsi="Arial Nova Cond" w:cs="Arial Nova Cond"/>
                <w:sz w:val="18"/>
                <w:szCs w:val="18"/>
              </w:rPr>
            </w:pPr>
          </w:p>
        </w:tc>
        <w:tc>
          <w:tcPr>
            <w:tcW w:w="1013" w:type="dxa"/>
            <w:vAlign w:val="center"/>
          </w:tcPr>
          <w:p w14:paraId="4FCC27AC">
            <w:pPr>
              <w:pStyle w:val="132"/>
              <w:keepNext w:val="0"/>
              <w:keepLines w:val="0"/>
              <w:pageBreakBefore w:val="0"/>
              <w:kinsoku/>
              <w:wordWrap/>
              <w:overflowPunct/>
              <w:topLinePunct w:val="0"/>
              <w:bidi w:val="0"/>
              <w:adjustRightInd/>
              <w:snapToGrid/>
              <w:spacing w:line="240" w:lineRule="auto"/>
              <w:ind w:left="361" w:right="345"/>
              <w:jc w:val="center"/>
              <w:rPr>
                <w:rFonts w:hint="default" w:ascii="Calibri" w:hAnsi="Calibri" w:cs="Calibri"/>
                <w:sz w:val="18"/>
                <w:szCs w:val="18"/>
              </w:rPr>
            </w:pPr>
          </w:p>
        </w:tc>
        <w:tc>
          <w:tcPr>
            <w:tcW w:w="1155" w:type="dxa"/>
            <w:vAlign w:val="center"/>
          </w:tcPr>
          <w:p w14:paraId="52A87E63">
            <w:pPr>
              <w:pStyle w:val="132"/>
              <w:keepNext w:val="0"/>
              <w:keepLines w:val="0"/>
              <w:pageBreakBefore w:val="0"/>
              <w:kinsoku/>
              <w:wordWrap/>
              <w:overflowPunct/>
              <w:topLinePunct w:val="0"/>
              <w:bidi w:val="0"/>
              <w:adjustRightInd/>
              <w:snapToGrid/>
              <w:spacing w:line="240" w:lineRule="auto"/>
              <w:ind w:left="361" w:right="345"/>
              <w:jc w:val="center"/>
              <w:rPr>
                <w:rFonts w:hint="default" w:ascii="Calibri" w:hAnsi="Calibri" w:cs="Calibri"/>
                <w:sz w:val="18"/>
                <w:szCs w:val="18"/>
              </w:rPr>
            </w:pPr>
          </w:p>
        </w:tc>
        <w:tc>
          <w:tcPr>
            <w:tcW w:w="1292" w:type="dxa"/>
            <w:vAlign w:val="center"/>
          </w:tcPr>
          <w:p w14:paraId="276EB5FF">
            <w:pPr>
              <w:keepNext w:val="0"/>
              <w:keepLines w:val="0"/>
              <w:widowControl/>
              <w:suppressLineNumbers w:val="0"/>
              <w:autoSpaceDE w:val="0"/>
              <w:autoSpaceDN w:val="0"/>
              <w:jc w:val="center"/>
              <w:textAlignment w:val="center"/>
              <w:rPr>
                <w:rFonts w:hint="default" w:ascii="Arial Nova Cond" w:hAnsi="Arial Nova Cond" w:eastAsia="Arial Nova Cond" w:cs="Arial Nova Cond"/>
                <w:i w:val="0"/>
                <w:iCs w:val="0"/>
                <w:color w:val="000000"/>
                <w:kern w:val="0"/>
                <w:sz w:val="18"/>
                <w:szCs w:val="18"/>
                <w:u w:val="none"/>
                <w:lang w:val="en-US" w:eastAsia="zh-CN" w:bidi="ar"/>
              </w:rPr>
            </w:pPr>
          </w:p>
        </w:tc>
        <w:tc>
          <w:tcPr>
            <w:tcW w:w="1474" w:type="dxa"/>
            <w:vAlign w:val="center"/>
          </w:tcPr>
          <w:p w14:paraId="6954C6AE">
            <w:pPr>
              <w:keepNext w:val="0"/>
              <w:keepLines w:val="0"/>
              <w:widowControl/>
              <w:suppressLineNumbers w:val="0"/>
              <w:autoSpaceDE w:val="0"/>
              <w:autoSpaceDN w:val="0"/>
              <w:jc w:val="center"/>
              <w:textAlignment w:val="center"/>
              <w:rPr>
                <w:rFonts w:hint="default" w:ascii="Arial Nova Cond" w:hAnsi="Arial Nova Cond" w:eastAsia="Arial Nova Cond" w:cs="Arial Nova Cond"/>
                <w:i w:val="0"/>
                <w:iCs w:val="0"/>
                <w:color w:val="000000"/>
                <w:kern w:val="0"/>
                <w:sz w:val="18"/>
                <w:szCs w:val="18"/>
                <w:u w:val="none"/>
                <w:lang w:val="en-US" w:eastAsia="zh-CN" w:bidi="ar"/>
              </w:rPr>
            </w:pPr>
          </w:p>
        </w:tc>
      </w:tr>
      <w:tr w14:paraId="16318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44" w:type="dxa"/>
            <w:vAlign w:val="center"/>
          </w:tcPr>
          <w:p w14:paraId="3840FBEC">
            <w:pPr>
              <w:pStyle w:val="132"/>
              <w:keepNext w:val="0"/>
              <w:keepLines w:val="0"/>
              <w:pageBreakBefore w:val="0"/>
              <w:kinsoku/>
              <w:wordWrap/>
              <w:overflowPunct/>
              <w:topLinePunct w:val="0"/>
              <w:bidi w:val="0"/>
              <w:adjustRightInd/>
              <w:snapToGrid/>
              <w:spacing w:line="240" w:lineRule="auto"/>
              <w:ind w:left="171" w:right="156"/>
              <w:jc w:val="center"/>
              <w:rPr>
                <w:rFonts w:hint="default" w:ascii="Calibri" w:hAnsi="Calibri" w:cs="Calibri"/>
                <w:sz w:val="18"/>
                <w:szCs w:val="18"/>
              </w:rPr>
            </w:pPr>
          </w:p>
        </w:tc>
        <w:tc>
          <w:tcPr>
            <w:tcW w:w="705" w:type="dxa"/>
            <w:vAlign w:val="center"/>
          </w:tcPr>
          <w:p w14:paraId="46614CCB">
            <w:pPr>
              <w:pStyle w:val="132"/>
              <w:keepNext w:val="0"/>
              <w:keepLines w:val="0"/>
              <w:pageBreakBefore w:val="0"/>
              <w:kinsoku/>
              <w:wordWrap/>
              <w:overflowPunct/>
              <w:topLinePunct w:val="0"/>
              <w:bidi w:val="0"/>
              <w:adjustRightInd/>
              <w:snapToGrid/>
              <w:spacing w:line="240" w:lineRule="auto"/>
              <w:ind w:left="171" w:right="156"/>
              <w:jc w:val="center"/>
              <w:rPr>
                <w:rFonts w:hint="default" w:ascii="Calibri" w:hAnsi="Calibri" w:cs="Calibri"/>
                <w:sz w:val="18"/>
                <w:szCs w:val="18"/>
              </w:rPr>
            </w:pPr>
          </w:p>
        </w:tc>
        <w:tc>
          <w:tcPr>
            <w:tcW w:w="3005" w:type="dxa"/>
            <w:vAlign w:val="top"/>
          </w:tcPr>
          <w:p w14:paraId="047A00B9">
            <w:pPr>
              <w:pStyle w:val="132"/>
              <w:keepNext w:val="0"/>
              <w:keepLines w:val="0"/>
              <w:pageBreakBefore w:val="0"/>
              <w:widowControl w:val="0"/>
              <w:kinsoku/>
              <w:wordWrap/>
              <w:overflowPunct/>
              <w:topLinePunct w:val="0"/>
              <w:autoSpaceDE w:val="0"/>
              <w:autoSpaceDN w:val="0"/>
              <w:bidi w:val="0"/>
              <w:adjustRightInd/>
              <w:snapToGrid/>
              <w:ind w:left="120" w:leftChars="50" w:right="120" w:rightChars="50"/>
              <w:jc w:val="both"/>
              <w:textAlignment w:val="auto"/>
              <w:rPr>
                <w:rFonts w:hint="default" w:ascii="Arial Nova Cond" w:hAnsi="Arial Nova Cond" w:cs="Arial Nova Cond"/>
                <w:sz w:val="18"/>
                <w:szCs w:val="18"/>
              </w:rPr>
            </w:pPr>
          </w:p>
        </w:tc>
        <w:tc>
          <w:tcPr>
            <w:tcW w:w="1013" w:type="dxa"/>
            <w:vAlign w:val="center"/>
          </w:tcPr>
          <w:p w14:paraId="3388CE75">
            <w:pPr>
              <w:pStyle w:val="132"/>
              <w:keepNext w:val="0"/>
              <w:keepLines w:val="0"/>
              <w:pageBreakBefore w:val="0"/>
              <w:kinsoku/>
              <w:wordWrap/>
              <w:overflowPunct/>
              <w:topLinePunct w:val="0"/>
              <w:bidi w:val="0"/>
              <w:adjustRightInd/>
              <w:snapToGrid/>
              <w:spacing w:line="240" w:lineRule="auto"/>
              <w:ind w:left="361" w:right="345"/>
              <w:jc w:val="center"/>
              <w:rPr>
                <w:rFonts w:hint="default" w:ascii="Calibri" w:hAnsi="Calibri" w:cs="Calibri"/>
                <w:sz w:val="18"/>
                <w:szCs w:val="18"/>
              </w:rPr>
            </w:pPr>
          </w:p>
        </w:tc>
        <w:tc>
          <w:tcPr>
            <w:tcW w:w="1155" w:type="dxa"/>
            <w:vAlign w:val="center"/>
          </w:tcPr>
          <w:p w14:paraId="2EAF6094">
            <w:pPr>
              <w:pStyle w:val="132"/>
              <w:keepNext w:val="0"/>
              <w:keepLines w:val="0"/>
              <w:pageBreakBefore w:val="0"/>
              <w:kinsoku/>
              <w:wordWrap/>
              <w:overflowPunct/>
              <w:topLinePunct w:val="0"/>
              <w:bidi w:val="0"/>
              <w:adjustRightInd/>
              <w:snapToGrid/>
              <w:spacing w:line="240" w:lineRule="auto"/>
              <w:ind w:left="361" w:right="345"/>
              <w:jc w:val="center"/>
              <w:rPr>
                <w:rFonts w:hint="default" w:ascii="Calibri" w:hAnsi="Calibri" w:cs="Calibri"/>
                <w:sz w:val="18"/>
                <w:szCs w:val="18"/>
              </w:rPr>
            </w:pPr>
          </w:p>
        </w:tc>
        <w:tc>
          <w:tcPr>
            <w:tcW w:w="1292" w:type="dxa"/>
            <w:vAlign w:val="center"/>
          </w:tcPr>
          <w:p w14:paraId="1D12DAB9">
            <w:pPr>
              <w:keepNext w:val="0"/>
              <w:keepLines w:val="0"/>
              <w:widowControl/>
              <w:suppressLineNumbers w:val="0"/>
              <w:autoSpaceDE w:val="0"/>
              <w:autoSpaceDN w:val="0"/>
              <w:jc w:val="center"/>
              <w:textAlignment w:val="center"/>
              <w:rPr>
                <w:rFonts w:hint="default" w:ascii="Arial Nova Cond" w:hAnsi="Arial Nova Cond" w:eastAsia="Arial Nova Cond" w:cs="Arial Nova Cond"/>
                <w:i w:val="0"/>
                <w:iCs w:val="0"/>
                <w:color w:val="000000"/>
                <w:kern w:val="0"/>
                <w:sz w:val="18"/>
                <w:szCs w:val="18"/>
                <w:u w:val="none"/>
                <w:lang w:val="en-US" w:eastAsia="zh-CN" w:bidi="ar"/>
              </w:rPr>
            </w:pPr>
          </w:p>
        </w:tc>
        <w:tc>
          <w:tcPr>
            <w:tcW w:w="1474" w:type="dxa"/>
            <w:vAlign w:val="center"/>
          </w:tcPr>
          <w:p w14:paraId="1F04747E">
            <w:pPr>
              <w:keepNext w:val="0"/>
              <w:keepLines w:val="0"/>
              <w:widowControl/>
              <w:suppressLineNumbers w:val="0"/>
              <w:autoSpaceDE w:val="0"/>
              <w:autoSpaceDN w:val="0"/>
              <w:jc w:val="center"/>
              <w:textAlignment w:val="center"/>
              <w:rPr>
                <w:rFonts w:hint="default" w:ascii="Arial Nova Cond" w:hAnsi="Arial Nova Cond" w:eastAsia="Arial Nova Cond" w:cs="Arial Nova Cond"/>
                <w:i w:val="0"/>
                <w:iCs w:val="0"/>
                <w:color w:val="000000"/>
                <w:kern w:val="0"/>
                <w:sz w:val="18"/>
                <w:szCs w:val="18"/>
                <w:u w:val="none"/>
                <w:lang w:val="en-US" w:eastAsia="zh-CN" w:bidi="ar"/>
              </w:rPr>
            </w:pPr>
          </w:p>
        </w:tc>
      </w:tr>
      <w:tr w14:paraId="6F278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44" w:type="dxa"/>
            <w:vAlign w:val="center"/>
          </w:tcPr>
          <w:p w14:paraId="37C97370">
            <w:pPr>
              <w:pStyle w:val="132"/>
              <w:keepNext w:val="0"/>
              <w:keepLines w:val="0"/>
              <w:pageBreakBefore w:val="0"/>
              <w:kinsoku/>
              <w:wordWrap/>
              <w:overflowPunct/>
              <w:topLinePunct w:val="0"/>
              <w:bidi w:val="0"/>
              <w:adjustRightInd/>
              <w:snapToGrid/>
              <w:spacing w:line="240" w:lineRule="auto"/>
              <w:ind w:left="171" w:right="156"/>
              <w:jc w:val="center"/>
              <w:rPr>
                <w:rFonts w:hint="default" w:ascii="Calibri" w:hAnsi="Calibri" w:cs="Calibri"/>
                <w:sz w:val="18"/>
                <w:szCs w:val="18"/>
              </w:rPr>
            </w:pPr>
          </w:p>
        </w:tc>
        <w:tc>
          <w:tcPr>
            <w:tcW w:w="705" w:type="dxa"/>
            <w:vAlign w:val="center"/>
          </w:tcPr>
          <w:p w14:paraId="7337A5AB">
            <w:pPr>
              <w:pStyle w:val="132"/>
              <w:keepNext w:val="0"/>
              <w:keepLines w:val="0"/>
              <w:pageBreakBefore w:val="0"/>
              <w:kinsoku/>
              <w:wordWrap/>
              <w:overflowPunct/>
              <w:topLinePunct w:val="0"/>
              <w:bidi w:val="0"/>
              <w:adjustRightInd/>
              <w:snapToGrid/>
              <w:spacing w:line="240" w:lineRule="auto"/>
              <w:ind w:left="171" w:right="156"/>
              <w:jc w:val="center"/>
              <w:rPr>
                <w:rFonts w:hint="default" w:ascii="Calibri" w:hAnsi="Calibri" w:cs="Calibri"/>
                <w:sz w:val="18"/>
                <w:szCs w:val="18"/>
              </w:rPr>
            </w:pPr>
          </w:p>
        </w:tc>
        <w:tc>
          <w:tcPr>
            <w:tcW w:w="3005" w:type="dxa"/>
            <w:vAlign w:val="top"/>
          </w:tcPr>
          <w:p w14:paraId="30F454BB">
            <w:pPr>
              <w:pStyle w:val="132"/>
              <w:keepNext w:val="0"/>
              <w:keepLines w:val="0"/>
              <w:pageBreakBefore w:val="0"/>
              <w:widowControl w:val="0"/>
              <w:kinsoku/>
              <w:wordWrap/>
              <w:overflowPunct/>
              <w:topLinePunct w:val="0"/>
              <w:autoSpaceDE w:val="0"/>
              <w:autoSpaceDN w:val="0"/>
              <w:bidi w:val="0"/>
              <w:adjustRightInd/>
              <w:snapToGrid/>
              <w:ind w:left="120" w:leftChars="50" w:right="120" w:rightChars="50"/>
              <w:jc w:val="both"/>
              <w:textAlignment w:val="auto"/>
              <w:rPr>
                <w:rFonts w:hint="default" w:ascii="Arial Nova Cond" w:hAnsi="Arial Nova Cond" w:cs="Arial Nova Cond"/>
                <w:sz w:val="18"/>
                <w:szCs w:val="18"/>
              </w:rPr>
            </w:pPr>
          </w:p>
        </w:tc>
        <w:tc>
          <w:tcPr>
            <w:tcW w:w="1013" w:type="dxa"/>
            <w:vAlign w:val="center"/>
          </w:tcPr>
          <w:p w14:paraId="6E5FED69">
            <w:pPr>
              <w:pStyle w:val="132"/>
              <w:keepNext w:val="0"/>
              <w:keepLines w:val="0"/>
              <w:pageBreakBefore w:val="0"/>
              <w:kinsoku/>
              <w:wordWrap/>
              <w:overflowPunct/>
              <w:topLinePunct w:val="0"/>
              <w:bidi w:val="0"/>
              <w:adjustRightInd/>
              <w:snapToGrid/>
              <w:spacing w:line="240" w:lineRule="auto"/>
              <w:ind w:left="361" w:right="345"/>
              <w:jc w:val="center"/>
              <w:rPr>
                <w:rFonts w:hint="default" w:ascii="Calibri" w:hAnsi="Calibri" w:cs="Calibri"/>
                <w:sz w:val="18"/>
                <w:szCs w:val="18"/>
              </w:rPr>
            </w:pPr>
          </w:p>
        </w:tc>
        <w:tc>
          <w:tcPr>
            <w:tcW w:w="1155" w:type="dxa"/>
            <w:vAlign w:val="center"/>
          </w:tcPr>
          <w:p w14:paraId="24FBC270">
            <w:pPr>
              <w:pStyle w:val="132"/>
              <w:keepNext w:val="0"/>
              <w:keepLines w:val="0"/>
              <w:pageBreakBefore w:val="0"/>
              <w:kinsoku/>
              <w:wordWrap/>
              <w:overflowPunct/>
              <w:topLinePunct w:val="0"/>
              <w:bidi w:val="0"/>
              <w:adjustRightInd/>
              <w:snapToGrid/>
              <w:spacing w:line="240" w:lineRule="auto"/>
              <w:ind w:left="361" w:right="345"/>
              <w:jc w:val="center"/>
              <w:rPr>
                <w:rFonts w:hint="default" w:ascii="Calibri" w:hAnsi="Calibri" w:cs="Calibri"/>
                <w:sz w:val="18"/>
                <w:szCs w:val="18"/>
              </w:rPr>
            </w:pPr>
          </w:p>
        </w:tc>
        <w:tc>
          <w:tcPr>
            <w:tcW w:w="1292" w:type="dxa"/>
            <w:vAlign w:val="center"/>
          </w:tcPr>
          <w:p w14:paraId="61B429A8">
            <w:pPr>
              <w:keepNext w:val="0"/>
              <w:keepLines w:val="0"/>
              <w:widowControl/>
              <w:suppressLineNumbers w:val="0"/>
              <w:autoSpaceDE w:val="0"/>
              <w:autoSpaceDN w:val="0"/>
              <w:jc w:val="center"/>
              <w:textAlignment w:val="center"/>
              <w:rPr>
                <w:rFonts w:hint="default" w:ascii="Arial Nova Cond" w:hAnsi="Arial Nova Cond" w:eastAsia="Arial Nova Cond" w:cs="Arial Nova Cond"/>
                <w:i w:val="0"/>
                <w:iCs w:val="0"/>
                <w:color w:val="000000"/>
                <w:kern w:val="0"/>
                <w:sz w:val="18"/>
                <w:szCs w:val="18"/>
                <w:u w:val="none"/>
                <w:lang w:val="en-US" w:eastAsia="zh-CN" w:bidi="ar"/>
              </w:rPr>
            </w:pPr>
          </w:p>
        </w:tc>
        <w:tc>
          <w:tcPr>
            <w:tcW w:w="1474" w:type="dxa"/>
            <w:vAlign w:val="center"/>
          </w:tcPr>
          <w:p w14:paraId="2ABE456F">
            <w:pPr>
              <w:keepNext w:val="0"/>
              <w:keepLines w:val="0"/>
              <w:widowControl/>
              <w:suppressLineNumbers w:val="0"/>
              <w:autoSpaceDE w:val="0"/>
              <w:autoSpaceDN w:val="0"/>
              <w:jc w:val="center"/>
              <w:textAlignment w:val="center"/>
              <w:rPr>
                <w:rFonts w:hint="default" w:ascii="Arial Nova Cond" w:hAnsi="Arial Nova Cond" w:eastAsia="Arial Nova Cond" w:cs="Arial Nova Cond"/>
                <w:i w:val="0"/>
                <w:iCs w:val="0"/>
                <w:color w:val="000000"/>
                <w:kern w:val="0"/>
                <w:sz w:val="18"/>
                <w:szCs w:val="18"/>
                <w:u w:val="none"/>
                <w:lang w:val="en-US" w:eastAsia="zh-CN" w:bidi="ar"/>
              </w:rPr>
            </w:pPr>
          </w:p>
        </w:tc>
      </w:tr>
    </w:tbl>
    <w:p w14:paraId="73625C52">
      <w:pPr>
        <w:rPr>
          <w:rFonts w:hint="default" w:ascii="Calibri" w:hAnsi="Calibri" w:cs="Calibri"/>
        </w:rPr>
      </w:pPr>
    </w:p>
    <w:p w14:paraId="563CCE49">
      <w:pPr>
        <w:pStyle w:val="58"/>
        <w:keepNext w:val="0"/>
        <w:keepLines w:val="0"/>
        <w:pageBreakBefore w:val="0"/>
        <w:widowControl/>
        <w:numPr>
          <w:ilvl w:val="1"/>
          <w:numId w:val="0"/>
        </w:numPr>
        <w:tabs>
          <w:tab w:val="left" w:pos="480"/>
        </w:tabs>
        <w:kinsoku/>
        <w:wordWrap/>
        <w:overflowPunct/>
        <w:topLinePunct w:val="0"/>
        <w:autoSpaceDE/>
        <w:autoSpaceDN/>
        <w:bidi w:val="0"/>
        <w:adjustRightInd/>
        <w:snapToGrid/>
        <w:spacing w:before="0" w:after="0" w:line="240" w:lineRule="auto"/>
        <w:ind w:leftChars="0"/>
        <w:textAlignment w:val="auto"/>
        <w:rPr>
          <w:rFonts w:hint="default" w:ascii="Calibri" w:hAnsi="Calibri" w:cs="Calibri"/>
          <w:sz w:val="21"/>
          <w:szCs w:val="21"/>
          <w:lang w:eastAsia="en-US"/>
        </w:rPr>
      </w:pPr>
    </w:p>
    <w:p w14:paraId="05C9463D">
      <w:pPr>
        <w:pStyle w:val="41"/>
        <w:pageBreakBefore w:val="0"/>
        <w:widowControl/>
        <w:numPr>
          <w:ilvl w:val="0"/>
          <w:numId w:val="11"/>
        </w:numPr>
        <w:tabs>
          <w:tab w:val="left" w:pos="480"/>
        </w:tabs>
        <w:kinsoku/>
        <w:wordWrap/>
        <w:overflowPunct/>
        <w:topLinePunct w:val="0"/>
        <w:autoSpaceDE/>
        <w:autoSpaceDN/>
        <w:bidi w:val="0"/>
        <w:adjustRightInd/>
        <w:snapToGrid/>
        <w:spacing w:before="0"/>
        <w:ind w:left="0" w:leftChars="0" w:firstLine="0" w:firstLineChars="0"/>
        <w:textAlignment w:val="auto"/>
        <w:rPr>
          <w:rFonts w:hint="default" w:ascii="Calibri" w:hAnsi="Calibri" w:cs="Calibri"/>
          <w:sz w:val="21"/>
          <w:szCs w:val="21"/>
        </w:rPr>
      </w:pPr>
      <w:r>
        <w:rPr>
          <w:rFonts w:hint="default" w:ascii="Calibri" w:hAnsi="Calibri" w:cs="Calibri"/>
          <w:sz w:val="21"/>
          <w:szCs w:val="21"/>
        </w:rPr>
        <w:t>ÓRGÃO(S) GERENCIADOR E  PARTICIPANTE(S)</w:t>
      </w:r>
    </w:p>
    <w:p w14:paraId="5BCB0D52">
      <w:pPr>
        <w:rPr>
          <w:rFonts w:hint="default"/>
          <w:sz w:val="21"/>
          <w:szCs w:val="21"/>
        </w:rPr>
      </w:pPr>
    </w:p>
    <w:p w14:paraId="18644F5D">
      <w:pPr>
        <w:pStyle w:val="58"/>
        <w:pageBreakBefore w:val="0"/>
        <w:widowControl/>
        <w:numPr>
          <w:ilvl w:val="1"/>
          <w:numId w:val="11"/>
        </w:numPr>
        <w:tabs>
          <w:tab w:val="left" w:pos="480"/>
        </w:tabs>
        <w:kinsoku/>
        <w:wordWrap/>
        <w:overflowPunct/>
        <w:topLinePunct w:val="0"/>
        <w:autoSpaceDE/>
        <w:autoSpaceDN/>
        <w:bidi w:val="0"/>
        <w:adjustRightInd/>
        <w:snapToGrid/>
        <w:spacing w:before="0" w:after="0"/>
        <w:ind w:left="0" w:leftChars="0" w:firstLine="0" w:firstLineChars="0"/>
        <w:textAlignment w:val="auto"/>
        <w:rPr>
          <w:rFonts w:hint="default" w:ascii="Calibri" w:hAnsi="Calibri" w:cs="Calibri"/>
          <w:sz w:val="21"/>
          <w:szCs w:val="21"/>
          <w:lang w:val="en-US"/>
        </w:rPr>
      </w:pPr>
      <w:r>
        <w:rPr>
          <w:rFonts w:hint="default" w:ascii="Calibri" w:hAnsi="Calibri" w:cs="Calibri"/>
          <w:sz w:val="21"/>
          <w:szCs w:val="21"/>
        </w:rPr>
        <w:t>O órgão gerenciador</w:t>
      </w:r>
      <w:r>
        <w:rPr>
          <w:rFonts w:hint="default" w:ascii="Calibri" w:hAnsi="Calibri" w:cs="Calibri"/>
          <w:sz w:val="21"/>
          <w:szCs w:val="21"/>
          <w:lang w:val="pt-BR"/>
        </w:rPr>
        <w:t xml:space="preserve">: SECRETARIA DE ASSISTÊNCIA E DESENVOLVIMENTO SOCIAL </w:t>
      </w:r>
    </w:p>
    <w:p w14:paraId="3D4AF7B6">
      <w:pPr>
        <w:pStyle w:val="58"/>
        <w:pageBreakBefore w:val="0"/>
        <w:widowControl/>
        <w:numPr>
          <w:ilvl w:val="1"/>
          <w:numId w:val="11"/>
        </w:numPr>
        <w:tabs>
          <w:tab w:val="left" w:pos="480"/>
        </w:tabs>
        <w:kinsoku/>
        <w:wordWrap/>
        <w:overflowPunct/>
        <w:topLinePunct w:val="0"/>
        <w:autoSpaceDE/>
        <w:autoSpaceDN/>
        <w:bidi w:val="0"/>
        <w:adjustRightInd/>
        <w:snapToGrid/>
        <w:spacing w:before="0" w:after="0"/>
        <w:ind w:left="0" w:leftChars="0" w:firstLine="0" w:firstLineChars="0"/>
        <w:textAlignment w:val="auto"/>
        <w:rPr>
          <w:rFonts w:hint="default" w:ascii="Calibri" w:hAnsi="Calibri" w:cs="Calibri"/>
          <w:sz w:val="21"/>
          <w:szCs w:val="21"/>
          <w:lang w:val="en-US"/>
        </w:rPr>
      </w:pPr>
      <w:r>
        <w:rPr>
          <w:rFonts w:hint="default" w:ascii="Calibri" w:hAnsi="Calibri" w:cs="Calibri"/>
          <w:sz w:val="21"/>
          <w:szCs w:val="21"/>
          <w:lang w:val="pt-BR"/>
        </w:rPr>
        <w:t>Orgãos participantes: demais secretarias conforme tabela em anexo</w:t>
      </w:r>
    </w:p>
    <w:p w14:paraId="3C9720A7">
      <w:pPr>
        <w:pStyle w:val="41"/>
        <w:numPr>
          <w:ilvl w:val="0"/>
          <w:numId w:val="11"/>
        </w:numPr>
        <w:tabs>
          <w:tab w:val="left" w:pos="480"/>
        </w:tabs>
        <w:ind w:left="0" w:leftChars="0" w:firstLine="0" w:firstLineChars="0"/>
        <w:rPr>
          <w:rFonts w:hint="default" w:ascii="Calibri" w:hAnsi="Calibri" w:cs="Calibri"/>
          <w:i/>
          <w:color w:val="FF0000"/>
          <w:sz w:val="21"/>
          <w:szCs w:val="21"/>
        </w:rPr>
      </w:pPr>
      <w:r>
        <w:rPr>
          <w:rFonts w:hint="default" w:ascii="Calibri" w:hAnsi="Calibri" w:cs="Calibri"/>
          <w:sz w:val="21"/>
          <w:szCs w:val="21"/>
        </w:rPr>
        <w:t xml:space="preserve">DA ADESÃO À ATA DE REGISTRO DE PREÇOS </w:t>
      </w:r>
    </w:p>
    <w:p w14:paraId="230AA1DD">
      <w:pPr>
        <w:rPr>
          <w:rFonts w:hint="default"/>
          <w:sz w:val="21"/>
          <w:szCs w:val="21"/>
        </w:rPr>
      </w:pPr>
    </w:p>
    <w:p w14:paraId="56789580">
      <w:pPr>
        <w:pStyle w:val="105"/>
        <w:keepNext w:val="0"/>
        <w:keepLines w:val="0"/>
        <w:pageBreakBefore w:val="0"/>
        <w:widowControl/>
        <w:numPr>
          <w:ilvl w:val="1"/>
          <w:numId w:val="11"/>
        </w:numPr>
        <w:tabs>
          <w:tab w:val="left" w:pos="480"/>
        </w:tabs>
        <w:kinsoku/>
        <w:wordWrap/>
        <w:overflowPunct/>
        <w:topLinePunct w:val="0"/>
        <w:autoSpaceDE/>
        <w:autoSpaceDN/>
        <w:bidi w:val="0"/>
        <w:adjustRightInd/>
        <w:snapToGrid/>
        <w:spacing w:before="0" w:after="0"/>
        <w:ind w:left="0" w:leftChars="0" w:firstLine="0" w:firstLineChars="0"/>
        <w:textAlignment w:val="auto"/>
        <w:rPr>
          <w:rFonts w:hint="default" w:ascii="Calibri" w:hAnsi="Calibri" w:cs="Calibri"/>
          <w:i w:val="0"/>
          <w:iCs w:val="0"/>
          <w:color w:val="auto"/>
          <w:sz w:val="21"/>
          <w:szCs w:val="21"/>
        </w:rPr>
      </w:pPr>
      <w:r>
        <w:rPr>
          <w:rFonts w:hint="default" w:ascii="Calibri" w:hAnsi="Calibri" w:cs="Calibri"/>
          <w:i w:val="0"/>
          <w:iCs w:val="0"/>
          <w:color w:val="auto"/>
          <w:sz w:val="21"/>
          <w:szCs w:val="21"/>
        </w:rPr>
        <w:t xml:space="preserve">Durante a vigência da ata, os órgãos e as entidades da Administração Pública </w:t>
      </w:r>
      <w:r>
        <w:rPr>
          <w:rFonts w:hint="default" w:ascii="Calibri" w:hAnsi="Calibri" w:cs="Calibri"/>
          <w:i w:val="0"/>
          <w:iCs w:val="0"/>
          <w:color w:val="auto"/>
          <w:sz w:val="21"/>
          <w:szCs w:val="21"/>
          <w:lang w:val="pt-BR"/>
        </w:rPr>
        <w:t xml:space="preserve">Municipal, </w:t>
      </w:r>
      <w:r>
        <w:rPr>
          <w:rFonts w:hint="default" w:ascii="Calibri" w:hAnsi="Calibri" w:cs="Calibri"/>
          <w:i w:val="0"/>
          <w:iCs w:val="0"/>
          <w:color w:val="auto"/>
          <w:sz w:val="21"/>
          <w:szCs w:val="21"/>
        </w:rPr>
        <w:t>que não participaram do procedimento de IRP</w:t>
      </w:r>
      <w:r>
        <w:rPr>
          <w:rFonts w:hint="default" w:ascii="Calibri" w:hAnsi="Calibri" w:cs="Calibri"/>
          <w:i w:val="0"/>
          <w:iCs w:val="0"/>
          <w:color w:val="auto"/>
          <w:sz w:val="21"/>
          <w:szCs w:val="21"/>
          <w:lang w:val="pt-BR"/>
        </w:rPr>
        <w:t xml:space="preserve">, ou desta não inicialmente PARTICIPANTES, </w:t>
      </w:r>
      <w:r>
        <w:rPr>
          <w:rFonts w:hint="default" w:ascii="Calibri" w:hAnsi="Calibri" w:cs="Calibri"/>
          <w:i w:val="0"/>
          <w:iCs w:val="0"/>
          <w:color w:val="auto"/>
          <w:sz w:val="21"/>
          <w:szCs w:val="21"/>
        </w:rPr>
        <w:t>poderão aderir à ata de registro de preços na condição de não participantes, observados os seguintes requisitos:</w:t>
      </w:r>
    </w:p>
    <w:p w14:paraId="7700C4EA">
      <w:pPr>
        <w:pStyle w:val="106"/>
        <w:keepNext w:val="0"/>
        <w:keepLines w:val="0"/>
        <w:pageBreakBefore w:val="0"/>
        <w:widowControl/>
        <w:numPr>
          <w:ilvl w:val="2"/>
          <w:numId w:val="11"/>
        </w:numPr>
        <w:tabs>
          <w:tab w:val="left" w:pos="720"/>
          <w:tab w:val="left" w:pos="96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i w:val="0"/>
          <w:iCs w:val="0"/>
          <w:color w:val="auto"/>
          <w:sz w:val="21"/>
          <w:szCs w:val="21"/>
        </w:rPr>
      </w:pPr>
      <w:r>
        <w:rPr>
          <w:rFonts w:hint="default" w:ascii="Calibri" w:hAnsi="Calibri" w:cs="Calibri"/>
          <w:i w:val="0"/>
          <w:iCs w:val="0"/>
          <w:color w:val="auto"/>
          <w:sz w:val="21"/>
          <w:szCs w:val="21"/>
        </w:rPr>
        <w:t>apresentação de justificativa da vantagem da adesão, inclusive em situações de provável desabastecimento ou descontinuidade de serviço público;</w:t>
      </w:r>
    </w:p>
    <w:p w14:paraId="403BFA08">
      <w:pPr>
        <w:pStyle w:val="106"/>
        <w:keepNext w:val="0"/>
        <w:keepLines w:val="0"/>
        <w:pageBreakBefore w:val="0"/>
        <w:widowControl/>
        <w:numPr>
          <w:ilvl w:val="2"/>
          <w:numId w:val="11"/>
        </w:numPr>
        <w:tabs>
          <w:tab w:val="left" w:pos="96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i w:val="0"/>
          <w:iCs w:val="0"/>
          <w:color w:val="auto"/>
          <w:sz w:val="21"/>
          <w:szCs w:val="21"/>
        </w:rPr>
      </w:pPr>
      <w:r>
        <w:rPr>
          <w:rFonts w:hint="default" w:ascii="Calibri" w:hAnsi="Calibri" w:cs="Calibri"/>
          <w:i w:val="0"/>
          <w:iCs w:val="0"/>
          <w:color w:val="auto"/>
          <w:sz w:val="21"/>
          <w:szCs w:val="21"/>
        </w:rPr>
        <w:t xml:space="preserve"> demonstração de que os valores registrados estão compatíveis com os valores praticados pelo mercado na forma do art. 23 da Lei nº 14.133, de 2021; e</w:t>
      </w:r>
    </w:p>
    <w:p w14:paraId="3FAED675">
      <w:pPr>
        <w:pStyle w:val="106"/>
        <w:keepNext w:val="0"/>
        <w:keepLines w:val="0"/>
        <w:pageBreakBefore w:val="0"/>
        <w:widowControl/>
        <w:numPr>
          <w:ilvl w:val="2"/>
          <w:numId w:val="11"/>
        </w:numPr>
        <w:tabs>
          <w:tab w:val="left" w:pos="720"/>
          <w:tab w:val="left" w:pos="96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i w:val="0"/>
          <w:iCs w:val="0"/>
          <w:color w:val="auto"/>
          <w:sz w:val="21"/>
          <w:szCs w:val="21"/>
        </w:rPr>
      </w:pPr>
      <w:r>
        <w:rPr>
          <w:rFonts w:hint="default" w:ascii="Calibri" w:hAnsi="Calibri" w:cs="Calibri"/>
          <w:i w:val="0"/>
          <w:iCs w:val="0"/>
          <w:color w:val="auto"/>
          <w:sz w:val="21"/>
          <w:szCs w:val="21"/>
        </w:rPr>
        <w:t xml:space="preserve"> consulta e aceitação prévias do órgão gerenciador e do fornecedor.</w:t>
      </w:r>
    </w:p>
    <w:p w14:paraId="5EA6A8E0">
      <w:pPr>
        <w:pStyle w:val="106"/>
        <w:keepNext w:val="0"/>
        <w:keepLines w:val="0"/>
        <w:pageBreakBefore w:val="0"/>
        <w:widowControl/>
        <w:numPr>
          <w:ilvl w:val="2"/>
          <w:numId w:val="0"/>
        </w:numPr>
        <w:tabs>
          <w:tab w:val="left" w:pos="720"/>
          <w:tab w:val="left" w:pos="960"/>
        </w:tabs>
        <w:kinsoku/>
        <w:wordWrap/>
        <w:overflowPunct/>
        <w:topLinePunct w:val="0"/>
        <w:autoSpaceDE/>
        <w:autoSpaceDN/>
        <w:bidi w:val="0"/>
        <w:adjustRightInd/>
        <w:snapToGrid/>
        <w:spacing w:before="0" w:after="0" w:line="240" w:lineRule="auto"/>
        <w:ind w:left="425" w:leftChars="0"/>
        <w:textAlignment w:val="auto"/>
        <w:rPr>
          <w:rFonts w:hint="default" w:ascii="Calibri" w:hAnsi="Calibri" w:cs="Calibri"/>
          <w:i w:val="0"/>
          <w:iCs w:val="0"/>
          <w:color w:val="auto"/>
          <w:sz w:val="21"/>
          <w:szCs w:val="21"/>
        </w:rPr>
      </w:pPr>
    </w:p>
    <w:p w14:paraId="1C8932EE">
      <w:pPr>
        <w:pStyle w:val="105"/>
        <w:keepNext w:val="0"/>
        <w:keepLines w:val="0"/>
        <w:pageBreakBefore w:val="0"/>
        <w:widowControl/>
        <w:numPr>
          <w:ilvl w:val="1"/>
          <w:numId w:val="11"/>
        </w:numPr>
        <w:tabs>
          <w:tab w:val="left" w:pos="480"/>
        </w:tabs>
        <w:kinsoku/>
        <w:wordWrap/>
        <w:overflowPunct/>
        <w:topLinePunct w:val="0"/>
        <w:autoSpaceDE/>
        <w:autoSpaceDN/>
        <w:bidi w:val="0"/>
        <w:adjustRightInd/>
        <w:snapToGrid/>
        <w:spacing w:before="0" w:after="0"/>
        <w:ind w:left="0" w:leftChars="0" w:firstLine="0" w:firstLineChars="0"/>
        <w:textAlignment w:val="auto"/>
        <w:rPr>
          <w:rFonts w:hint="default" w:ascii="Calibri" w:hAnsi="Calibri" w:cs="Calibri"/>
          <w:i w:val="0"/>
          <w:iCs w:val="0"/>
          <w:color w:val="auto"/>
          <w:sz w:val="21"/>
          <w:szCs w:val="21"/>
        </w:rPr>
      </w:pPr>
      <w:r>
        <w:rPr>
          <w:rFonts w:hint="default" w:ascii="Calibri" w:hAnsi="Calibri" w:cs="Calibri"/>
          <w:i w:val="0"/>
          <w:iCs w:val="0"/>
          <w:color w:val="auto"/>
          <w:sz w:val="21"/>
          <w:szCs w:val="21"/>
        </w:rPr>
        <w:t>A autorização do órgão gerenciador apenas será realizada após a aceitação da adesão pelo fornecedor.</w:t>
      </w:r>
    </w:p>
    <w:p w14:paraId="04DB5C8B">
      <w:pPr>
        <w:pStyle w:val="106"/>
        <w:keepNext w:val="0"/>
        <w:keepLines w:val="0"/>
        <w:pageBreakBefore w:val="0"/>
        <w:widowControl/>
        <w:numPr>
          <w:ilvl w:val="2"/>
          <w:numId w:val="11"/>
        </w:numPr>
        <w:tabs>
          <w:tab w:val="left" w:pos="960"/>
        </w:tabs>
        <w:kinsoku/>
        <w:wordWrap/>
        <w:overflowPunct/>
        <w:topLinePunct w:val="0"/>
        <w:autoSpaceDE/>
        <w:autoSpaceDN/>
        <w:bidi w:val="0"/>
        <w:adjustRightInd/>
        <w:snapToGrid/>
        <w:spacing w:before="0" w:after="0"/>
        <w:ind w:left="1508" w:leftChars="0" w:hanging="708" w:firstLineChars="0"/>
        <w:textAlignment w:val="auto"/>
        <w:rPr>
          <w:rFonts w:hint="default" w:ascii="Calibri" w:hAnsi="Calibri" w:cs="Calibri"/>
          <w:i w:val="0"/>
          <w:iCs w:val="0"/>
          <w:color w:val="auto"/>
          <w:sz w:val="21"/>
          <w:szCs w:val="21"/>
        </w:rPr>
      </w:pPr>
      <w:r>
        <w:rPr>
          <w:rFonts w:hint="default" w:ascii="Calibri" w:hAnsi="Calibri" w:cs="Calibri"/>
          <w:i w:val="0"/>
          <w:iCs w:val="0"/>
          <w:color w:val="auto"/>
          <w:sz w:val="21"/>
          <w:szCs w:val="21"/>
        </w:rPr>
        <w:t>O órgão gerenciador poderá rejeitar adesões caso elas possam acarretar prejuízo à execução de seus próprios contratos ou à sua capacidade de gerenciamento.</w:t>
      </w:r>
    </w:p>
    <w:p w14:paraId="01EE80E1">
      <w:pPr>
        <w:pStyle w:val="105"/>
        <w:numPr>
          <w:ilvl w:val="1"/>
          <w:numId w:val="11"/>
        </w:numPr>
        <w:tabs>
          <w:tab w:val="left" w:pos="480"/>
        </w:tabs>
        <w:ind w:left="0" w:leftChars="0" w:firstLine="0" w:firstLineChars="0"/>
        <w:rPr>
          <w:rFonts w:hint="default" w:ascii="Calibri" w:hAnsi="Calibri" w:cs="Calibri"/>
          <w:i w:val="0"/>
          <w:iCs w:val="0"/>
          <w:color w:val="auto"/>
          <w:sz w:val="21"/>
          <w:szCs w:val="21"/>
        </w:rPr>
      </w:pPr>
      <w:r>
        <w:rPr>
          <w:rFonts w:hint="default" w:ascii="Calibri" w:hAnsi="Calibri" w:cs="Calibri"/>
          <w:i w:val="0"/>
          <w:iCs w:val="0"/>
          <w:color w:val="auto"/>
          <w:sz w:val="21"/>
          <w:szCs w:val="21"/>
        </w:rPr>
        <w:t xml:space="preserve"> Após a autorização do órgão gerenciador, o órgão ou entidade não participante deverá efetivar a aquisição ou a contratação solicitada em até noventa dias, observado o prazo de vigência da ata.</w:t>
      </w:r>
    </w:p>
    <w:p w14:paraId="47CB46BD">
      <w:pPr>
        <w:pStyle w:val="105"/>
        <w:numPr>
          <w:ilvl w:val="1"/>
          <w:numId w:val="11"/>
        </w:numPr>
        <w:tabs>
          <w:tab w:val="left" w:pos="480"/>
        </w:tabs>
        <w:ind w:left="0" w:leftChars="0" w:firstLine="0" w:firstLineChars="0"/>
        <w:rPr>
          <w:rFonts w:hint="default" w:ascii="Calibri" w:hAnsi="Calibri" w:cs="Calibri"/>
          <w:i w:val="0"/>
          <w:iCs w:val="0"/>
          <w:color w:val="auto"/>
          <w:sz w:val="21"/>
          <w:szCs w:val="21"/>
        </w:rPr>
      </w:pPr>
      <w:r>
        <w:rPr>
          <w:rFonts w:hint="default" w:ascii="Calibri" w:hAnsi="Calibri" w:cs="Calibri"/>
          <w:color w:val="auto"/>
        </w:rPr>
        <w:t xml:space="preserve"> </w:t>
      </w:r>
      <w:r>
        <w:rPr>
          <w:rFonts w:hint="default" w:ascii="Calibri" w:hAnsi="Calibri" w:cs="Calibri"/>
          <w:i w:val="0"/>
          <w:iCs w:val="0"/>
          <w:color w:val="auto"/>
          <w:sz w:val="21"/>
          <w:szCs w:val="21"/>
        </w:rPr>
        <w:t>O prazo de que trata o subitem anterior, relativo à efetivação da contratação, poderá ser prorrogado excepcionalmente, mediante solicitação do órgão ou da entidade não participante aceita pelo órgão gerenciador, desde que respeitado o limite temporal de vigência da ata de registro de preços.</w:t>
      </w:r>
    </w:p>
    <w:p w14:paraId="10917E5E">
      <w:pPr>
        <w:pStyle w:val="105"/>
        <w:numPr>
          <w:ilvl w:val="1"/>
          <w:numId w:val="11"/>
        </w:numPr>
        <w:tabs>
          <w:tab w:val="left" w:pos="480"/>
        </w:tabs>
        <w:ind w:left="0" w:leftChars="0" w:firstLine="0" w:firstLineChars="0"/>
        <w:rPr>
          <w:rFonts w:hint="default" w:ascii="Calibri" w:hAnsi="Calibri" w:cs="Calibri"/>
          <w:i w:val="0"/>
          <w:iCs w:val="0"/>
          <w:color w:val="auto"/>
          <w:sz w:val="21"/>
          <w:szCs w:val="21"/>
        </w:rPr>
      </w:pPr>
      <w:r>
        <w:rPr>
          <w:rFonts w:hint="default" w:ascii="Calibri" w:hAnsi="Calibri" w:cs="Calibri"/>
          <w:i w:val="0"/>
          <w:iCs w:val="0"/>
          <w:color w:val="auto"/>
          <w:sz w:val="21"/>
          <w:szCs w:val="21"/>
        </w:rPr>
        <w:t>O órgão poderá aderir a item da ata de registro de preços da qual seja integrante, na qualidade de não participante, para aqueles itens para os quais não tenha quantitativo registrado, observados os requisitos do item 4.1.</w:t>
      </w:r>
    </w:p>
    <w:p w14:paraId="5A62D1B2">
      <w:pPr>
        <w:pStyle w:val="136"/>
        <w:rPr>
          <w:rFonts w:hint="default" w:ascii="Calibri" w:hAnsi="Calibri" w:cs="Calibri"/>
          <w:color w:val="auto"/>
          <w:sz w:val="21"/>
          <w:szCs w:val="21"/>
        </w:rPr>
      </w:pPr>
      <w:r>
        <w:rPr>
          <w:rFonts w:hint="default" w:ascii="Calibri" w:hAnsi="Calibri" w:cs="Calibri"/>
          <w:color w:val="auto"/>
          <w:sz w:val="21"/>
          <w:szCs w:val="21"/>
        </w:rPr>
        <w:t>Dos limites para as adesões</w:t>
      </w:r>
    </w:p>
    <w:p w14:paraId="1BBB59C2">
      <w:pPr>
        <w:pStyle w:val="105"/>
        <w:numPr>
          <w:ilvl w:val="1"/>
          <w:numId w:val="11"/>
        </w:numPr>
        <w:tabs>
          <w:tab w:val="left" w:pos="480"/>
        </w:tabs>
        <w:ind w:left="0" w:leftChars="0" w:firstLine="0" w:firstLineChars="0"/>
        <w:rPr>
          <w:rFonts w:hint="default" w:ascii="Calibri" w:hAnsi="Calibri" w:cs="Calibri"/>
          <w:color w:val="auto"/>
          <w:sz w:val="21"/>
          <w:szCs w:val="21"/>
        </w:rPr>
      </w:pPr>
      <w:r>
        <w:rPr>
          <w:rFonts w:hint="default" w:ascii="Calibri" w:hAnsi="Calibri" w:cs="Calibri"/>
          <w:color w:val="auto"/>
          <w:sz w:val="21"/>
          <w:szCs w:val="21"/>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4B1172FB">
      <w:pPr>
        <w:pStyle w:val="105"/>
        <w:numPr>
          <w:ilvl w:val="1"/>
          <w:numId w:val="11"/>
        </w:numPr>
        <w:tabs>
          <w:tab w:val="left" w:pos="480"/>
        </w:tabs>
        <w:ind w:left="0" w:leftChars="0" w:firstLine="0" w:firstLineChars="0"/>
        <w:rPr>
          <w:rFonts w:hint="default" w:ascii="Calibri" w:hAnsi="Calibri" w:cs="Calibri"/>
          <w:color w:val="auto"/>
          <w:sz w:val="21"/>
          <w:szCs w:val="21"/>
        </w:rPr>
      </w:pPr>
      <w:r>
        <w:rPr>
          <w:rFonts w:hint="default" w:ascii="Calibri" w:hAnsi="Calibri" w:cs="Calibri"/>
          <w:color w:val="auto"/>
          <w:sz w:val="21"/>
          <w:szCs w:val="21"/>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8C86D42">
      <w:pPr>
        <w:pStyle w:val="136"/>
        <w:rPr>
          <w:rFonts w:hint="default" w:ascii="Calibri" w:hAnsi="Calibri" w:cs="Calibri"/>
          <w:sz w:val="21"/>
          <w:szCs w:val="21"/>
        </w:rPr>
      </w:pPr>
      <w:r>
        <w:rPr>
          <w:rFonts w:hint="default" w:ascii="Calibri" w:hAnsi="Calibri" w:cs="Calibri"/>
          <w:sz w:val="21"/>
          <w:szCs w:val="21"/>
        </w:rPr>
        <w:t>Vedação a acréscimo de quantitativos</w:t>
      </w:r>
    </w:p>
    <w:p w14:paraId="0CA7F1F4">
      <w:pPr>
        <w:pStyle w:val="58"/>
        <w:keepNext w:val="0"/>
        <w:keepLines w:val="0"/>
        <w:pageBreakBefore w:val="0"/>
        <w:widowControl/>
        <w:numPr>
          <w:ilvl w:val="1"/>
          <w:numId w:val="11"/>
        </w:numPr>
        <w:tabs>
          <w:tab w:val="left" w:pos="480"/>
        </w:tabs>
        <w:kinsoku/>
        <w:wordWrap/>
        <w:overflowPunct/>
        <w:topLinePunct w:val="0"/>
        <w:autoSpaceDE/>
        <w:autoSpaceDN/>
        <w:bidi w:val="0"/>
        <w:adjustRightInd/>
        <w:snapToGrid/>
        <w:spacing w:before="0" w:after="0" w:line="240" w:lineRule="auto"/>
        <w:ind w:left="0" w:leftChars="0" w:firstLine="0" w:firstLineChars="0"/>
        <w:textAlignment w:val="auto"/>
        <w:rPr>
          <w:rFonts w:hint="default" w:ascii="Calibri" w:hAnsi="Calibri" w:cs="Calibri"/>
          <w:sz w:val="21"/>
          <w:szCs w:val="21"/>
        </w:rPr>
      </w:pPr>
      <w:r>
        <w:rPr>
          <w:rFonts w:hint="default" w:ascii="Calibri" w:hAnsi="Calibri" w:cs="Calibri"/>
          <w:sz w:val="21"/>
          <w:szCs w:val="21"/>
        </w:rPr>
        <w:t>É vedado efetuar acréscimos nos quantitativos fixados na ata de registro de preços.</w:t>
      </w:r>
    </w:p>
    <w:p w14:paraId="4AE50092">
      <w:pPr>
        <w:pStyle w:val="58"/>
        <w:keepNext w:val="0"/>
        <w:keepLines w:val="0"/>
        <w:pageBreakBefore w:val="0"/>
        <w:widowControl/>
        <w:numPr>
          <w:ilvl w:val="1"/>
          <w:numId w:val="0"/>
        </w:numPr>
        <w:tabs>
          <w:tab w:val="left" w:pos="480"/>
        </w:tabs>
        <w:kinsoku/>
        <w:wordWrap/>
        <w:overflowPunct/>
        <w:topLinePunct w:val="0"/>
        <w:autoSpaceDE/>
        <w:autoSpaceDN/>
        <w:bidi w:val="0"/>
        <w:adjustRightInd/>
        <w:snapToGrid/>
        <w:spacing w:before="0" w:after="0" w:line="240" w:lineRule="auto"/>
        <w:ind w:leftChars="0"/>
        <w:textAlignment w:val="auto"/>
        <w:rPr>
          <w:rFonts w:hint="default" w:ascii="Calibri" w:hAnsi="Calibri" w:cs="Calibri"/>
          <w:sz w:val="21"/>
          <w:szCs w:val="21"/>
        </w:rPr>
      </w:pPr>
    </w:p>
    <w:p w14:paraId="087CFE29">
      <w:pPr>
        <w:pStyle w:val="41"/>
        <w:numPr>
          <w:ilvl w:val="0"/>
          <w:numId w:val="11"/>
        </w:numPr>
        <w:ind w:left="0" w:leftChars="0" w:firstLine="0" w:firstLineChars="0"/>
        <w:rPr>
          <w:rFonts w:hint="default" w:ascii="Calibri" w:hAnsi="Calibri" w:cs="Calibri"/>
          <w:sz w:val="21"/>
          <w:szCs w:val="21"/>
        </w:rPr>
      </w:pPr>
      <w:r>
        <w:rPr>
          <w:rFonts w:hint="default" w:ascii="Calibri" w:hAnsi="Calibri" w:cs="Calibri"/>
          <w:sz w:val="21"/>
          <w:szCs w:val="21"/>
        </w:rPr>
        <w:t>VALIDADE, FORMALIZAÇÃO DA ATA DE REGISTRO DE PREÇOS E CADASTRO RESERVA</w:t>
      </w:r>
    </w:p>
    <w:p w14:paraId="23671944">
      <w:pPr>
        <w:rPr>
          <w:rFonts w:hint="default"/>
          <w:sz w:val="21"/>
          <w:szCs w:val="21"/>
        </w:rPr>
      </w:pPr>
    </w:p>
    <w:p w14:paraId="20BB5DA8">
      <w:pPr>
        <w:pStyle w:val="58"/>
        <w:keepNext w:val="0"/>
        <w:keepLines w:val="0"/>
        <w:pageBreakBefore w:val="0"/>
        <w:widowControl/>
        <w:numPr>
          <w:ilvl w:val="1"/>
          <w:numId w:val="11"/>
        </w:numPr>
        <w:tabs>
          <w:tab w:val="left" w:pos="480"/>
        </w:tabs>
        <w:kinsoku/>
        <w:wordWrap/>
        <w:overflowPunct/>
        <w:topLinePunct w:val="0"/>
        <w:autoSpaceDE/>
        <w:autoSpaceDN/>
        <w:bidi w:val="0"/>
        <w:adjustRightInd/>
        <w:snapToGrid/>
        <w:spacing w:before="0" w:after="0"/>
        <w:ind w:left="0" w:leftChars="0" w:firstLine="0" w:firstLineChars="0"/>
        <w:textAlignment w:val="auto"/>
        <w:rPr>
          <w:rFonts w:hint="default" w:ascii="Calibri" w:hAnsi="Calibri" w:cs="Calibri"/>
          <w:iCs/>
          <w:sz w:val="21"/>
          <w:szCs w:val="21"/>
        </w:rPr>
      </w:pPr>
      <w:r>
        <w:rPr>
          <w:rFonts w:hint="default" w:ascii="Calibri" w:hAnsi="Calibri" w:cs="Calibri"/>
          <w:sz w:val="21"/>
          <w:szCs w:val="21"/>
        </w:rPr>
        <w:t xml:space="preserve">A validade da Ata de Registro de Preços será de 1 (um) ano, contado a partir do primeiro dia útil subsequente à data de divulgação no PNCP, </w:t>
      </w:r>
      <w:r>
        <w:rPr>
          <w:rFonts w:hint="default" w:ascii="Calibri" w:hAnsi="Calibri" w:cs="Calibri"/>
          <w:color w:val="auto"/>
          <w:sz w:val="21"/>
          <w:szCs w:val="21"/>
        </w:rPr>
        <w:t>podendo ser prorrogada por igual período, mediante a anuência do fornecedor, desde que comprovado o preço vantajoso.</w:t>
      </w:r>
    </w:p>
    <w:p w14:paraId="6FB16356">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796A84D9">
      <w:pPr>
        <w:pStyle w:val="137"/>
        <w:keepNext w:val="0"/>
        <w:keepLines w:val="0"/>
        <w:pageBreakBefore w:val="0"/>
        <w:widowControl/>
        <w:numPr>
          <w:ilvl w:val="2"/>
          <w:numId w:val="11"/>
        </w:numPr>
        <w:tabs>
          <w:tab w:val="left" w:pos="960"/>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Na formalização do contrato ou do instrumento substituto deverá haver a indicação da disponibilidade dos créditos orçamentários respectivos.</w:t>
      </w:r>
    </w:p>
    <w:p w14:paraId="68A0346B">
      <w:pPr>
        <w:pStyle w:val="137"/>
        <w:keepNext w:val="0"/>
        <w:keepLines w:val="0"/>
        <w:pageBreakBefore w:val="0"/>
        <w:widowControl/>
        <w:numPr>
          <w:ilvl w:val="2"/>
          <w:numId w:val="11"/>
        </w:numPr>
        <w:tabs>
          <w:tab w:val="left" w:pos="960"/>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sz w:val="21"/>
          <w:szCs w:val="21"/>
        </w:rPr>
        <w:t>Em havendo prorrogação do prazo de vigência, fica fixado como índice de reajuste dos preços o INPC/IBGE.</w:t>
      </w:r>
    </w:p>
    <w:p w14:paraId="7425146D">
      <w:pPr>
        <w:pStyle w:val="137"/>
        <w:keepNext w:val="0"/>
        <w:keepLines w:val="0"/>
        <w:pageBreakBefore w:val="0"/>
        <w:widowControl/>
        <w:numPr>
          <w:ilvl w:val="2"/>
          <w:numId w:val="0"/>
        </w:numPr>
        <w:tabs>
          <w:tab w:val="left" w:pos="960"/>
          <w:tab w:val="left" w:pos="1200"/>
        </w:tabs>
        <w:kinsoku/>
        <w:wordWrap/>
        <w:overflowPunct/>
        <w:topLinePunct w:val="0"/>
        <w:autoSpaceDE/>
        <w:autoSpaceDN/>
        <w:bidi w:val="0"/>
        <w:adjustRightInd/>
        <w:snapToGrid/>
        <w:spacing w:before="0" w:after="0" w:line="240" w:lineRule="auto"/>
        <w:ind w:left="425" w:leftChars="0"/>
        <w:textAlignment w:val="auto"/>
        <w:rPr>
          <w:rFonts w:hint="default" w:ascii="Calibri" w:hAnsi="Calibri" w:cs="Calibri"/>
          <w:sz w:val="21"/>
          <w:szCs w:val="21"/>
        </w:rPr>
      </w:pPr>
    </w:p>
    <w:p w14:paraId="43F7CADF">
      <w:pPr>
        <w:pStyle w:val="58"/>
        <w:keepNext w:val="0"/>
        <w:keepLines w:val="0"/>
        <w:pageBreakBefore w:val="0"/>
        <w:widowControl/>
        <w:numPr>
          <w:ilvl w:val="1"/>
          <w:numId w:val="11"/>
        </w:numPr>
        <w:kinsoku/>
        <w:wordWrap/>
        <w:overflowPunct/>
        <w:topLinePunct w:val="0"/>
        <w:autoSpaceDE/>
        <w:autoSpaceDN/>
        <w:bidi w:val="0"/>
        <w:adjustRightInd/>
        <w:snapToGrid/>
        <w:spacing w:before="0" w:after="0"/>
        <w:ind w:left="0" w:leftChars="0" w:firstLine="0" w:firstLineChars="0"/>
        <w:textAlignment w:val="auto"/>
        <w:rPr>
          <w:rFonts w:hint="default" w:ascii="Calibri" w:hAnsi="Calibri" w:cs="Calibri"/>
          <w:sz w:val="21"/>
          <w:szCs w:val="21"/>
        </w:rPr>
      </w:pPr>
      <w:r>
        <w:rPr>
          <w:rFonts w:hint="default" w:ascii="Calibri" w:hAnsi="Calibri" w:cs="Calibri"/>
          <w:sz w:val="21"/>
          <w:szCs w:val="21"/>
        </w:rPr>
        <w:t>A contratação com os fornecedores registrados na ata será formalizada pelo órgão ou pela en</w:t>
      </w:r>
      <w:r>
        <w:rPr>
          <w:rFonts w:hint="default" w:ascii="Calibri" w:hAnsi="Calibri" w:eastAsia="Arial" w:cs="Calibri"/>
          <w:sz w:val="21"/>
          <w:szCs w:val="21"/>
        </w:rPr>
        <w:t>ti</w:t>
      </w:r>
      <w:r>
        <w:rPr>
          <w:rFonts w:hint="default" w:ascii="Calibri" w:hAnsi="Calibri" w:cs="Calibri"/>
          <w:sz w:val="21"/>
          <w:szCs w:val="21"/>
        </w:rPr>
        <w:t>dade interessada por intermédio de instrumento contratual, emissão de nota de empenho de despesa, autorização de compra ou outro instrumento hábil, conforme o art. 95 da Lei nº 14.133, de 2021.</w:t>
      </w:r>
    </w:p>
    <w:p w14:paraId="47E7F26D">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 O instrumento contratual de que trata o item 5.2. deverá ser assinado no prazo de validade da ata de registro de preços.</w:t>
      </w:r>
    </w:p>
    <w:p w14:paraId="0D5074D0">
      <w:pPr>
        <w:pStyle w:val="58"/>
        <w:keepNext w:val="0"/>
        <w:keepLines w:val="0"/>
        <w:pageBreakBefore w:val="0"/>
        <w:widowControl/>
        <w:numPr>
          <w:ilvl w:val="1"/>
          <w:numId w:val="11"/>
        </w:numPr>
        <w:tabs>
          <w:tab w:val="left" w:pos="480"/>
        </w:tabs>
        <w:kinsoku/>
        <w:wordWrap/>
        <w:overflowPunct/>
        <w:topLinePunct w:val="0"/>
        <w:autoSpaceDE/>
        <w:autoSpaceDN/>
        <w:bidi w:val="0"/>
        <w:adjustRightInd/>
        <w:snapToGrid/>
        <w:spacing w:before="0" w:after="0"/>
        <w:ind w:left="0" w:leftChars="0" w:firstLine="0" w:firstLineChars="0"/>
        <w:textAlignment w:val="auto"/>
        <w:rPr>
          <w:rFonts w:hint="default" w:ascii="Calibri" w:hAnsi="Calibri" w:cs="Calibri"/>
          <w:sz w:val="21"/>
          <w:szCs w:val="21"/>
        </w:rPr>
      </w:pPr>
      <w:r>
        <w:rPr>
          <w:rFonts w:hint="default" w:ascii="Calibri" w:hAnsi="Calibri" w:cs="Calibri"/>
          <w:sz w:val="21"/>
          <w:szCs w:val="21"/>
        </w:rPr>
        <w:t>Os contratos decorrentes do sistema de registro de preços poderão ser alterados, observado o art. 124 da Lei nº 14.133, de 2021.</w:t>
      </w:r>
    </w:p>
    <w:p w14:paraId="2085951B">
      <w:pPr>
        <w:pStyle w:val="137"/>
        <w:keepNext w:val="0"/>
        <w:keepLines w:val="0"/>
        <w:pageBreakBefore w:val="0"/>
        <w:widowControl/>
        <w:numPr>
          <w:ilvl w:val="2"/>
          <w:numId w:val="11"/>
        </w:numPr>
        <w:tabs>
          <w:tab w:val="left" w:pos="960"/>
          <w:tab w:val="left" w:pos="1200"/>
        </w:tabs>
        <w:kinsoku/>
        <w:wordWrap/>
        <w:overflowPunct/>
        <w:topLinePunct w:val="0"/>
        <w:autoSpaceDE/>
        <w:autoSpaceDN/>
        <w:bidi w:val="0"/>
        <w:adjustRightInd/>
        <w:snapToGrid/>
        <w:spacing w:before="0" w:after="0"/>
        <w:ind w:left="1508" w:leftChars="0" w:hanging="708" w:firstLineChars="0"/>
        <w:textAlignment w:val="auto"/>
        <w:rPr>
          <w:rFonts w:hint="default" w:ascii="Calibri" w:hAnsi="Calibri" w:cs="Calibri"/>
          <w:sz w:val="21"/>
          <w:szCs w:val="21"/>
        </w:rPr>
      </w:pPr>
      <w:r>
        <w:rPr>
          <w:rFonts w:hint="default" w:ascii="Calibri" w:hAnsi="Calibri" w:cs="Calibri"/>
          <w:sz w:val="21"/>
          <w:szCs w:val="21"/>
          <w:lang w:val="pt-BR"/>
        </w:rPr>
        <w:t xml:space="preserve">No anexo a presente ata, está incluído </w:t>
      </w:r>
      <w:r>
        <w:rPr>
          <w:rFonts w:hint="default" w:ascii="Calibri" w:hAnsi="Calibri" w:cs="Calibri"/>
          <w:sz w:val="21"/>
          <w:szCs w:val="21"/>
        </w:rPr>
        <w:t>o registro dos licitantes ou dos fornecedores que:</w:t>
      </w:r>
    </w:p>
    <w:p w14:paraId="7B96CD35">
      <w:pPr>
        <w:pStyle w:val="138"/>
        <w:keepNext w:val="0"/>
        <w:keepLines w:val="0"/>
        <w:pageBreakBefore w:val="0"/>
        <w:widowControl/>
        <w:numPr>
          <w:ilvl w:val="3"/>
          <w:numId w:val="11"/>
        </w:numPr>
        <w:kinsoku/>
        <w:wordWrap/>
        <w:overflowPunct/>
        <w:topLinePunct w:val="0"/>
        <w:autoSpaceDE/>
        <w:autoSpaceDN/>
        <w:bidi w:val="0"/>
        <w:adjustRightInd/>
        <w:snapToGrid/>
        <w:spacing w:before="0" w:after="0"/>
        <w:ind w:left="2053" w:leftChars="0" w:hanging="853" w:firstLineChars="0"/>
        <w:textAlignment w:val="auto"/>
        <w:rPr>
          <w:rFonts w:hint="default" w:ascii="Calibri" w:hAnsi="Calibri" w:cs="Calibri"/>
          <w:sz w:val="21"/>
          <w:szCs w:val="21"/>
        </w:rPr>
      </w:pPr>
      <w:r>
        <w:rPr>
          <w:rFonts w:hint="default" w:ascii="Calibri" w:hAnsi="Calibri" w:cs="Calibri"/>
          <w:sz w:val="21"/>
          <w:szCs w:val="21"/>
        </w:rPr>
        <w:t>Aceitar</w:t>
      </w:r>
      <w:r>
        <w:rPr>
          <w:rFonts w:hint="default" w:ascii="Calibri" w:hAnsi="Calibri" w:cs="Calibri"/>
          <w:sz w:val="21"/>
          <w:szCs w:val="21"/>
          <w:lang w:val="pt-BR"/>
        </w:rPr>
        <w:t>a</w:t>
      </w:r>
      <w:r>
        <w:rPr>
          <w:rFonts w:hint="default" w:ascii="Calibri" w:hAnsi="Calibri" w:cs="Calibri"/>
          <w:sz w:val="21"/>
          <w:szCs w:val="21"/>
        </w:rPr>
        <w:t xml:space="preserve">m cotar os bens, as obras ou os serviços com preços iguais aos do adjudicatário, observada a classificação da licitação; e </w:t>
      </w:r>
    </w:p>
    <w:p w14:paraId="51F14A67">
      <w:pPr>
        <w:pStyle w:val="138"/>
        <w:keepNext w:val="0"/>
        <w:keepLines w:val="0"/>
        <w:pageBreakBefore w:val="0"/>
        <w:widowControl/>
        <w:numPr>
          <w:ilvl w:val="3"/>
          <w:numId w:val="11"/>
        </w:numPr>
        <w:kinsoku/>
        <w:wordWrap/>
        <w:overflowPunct/>
        <w:topLinePunct w:val="0"/>
        <w:autoSpaceDE/>
        <w:autoSpaceDN/>
        <w:bidi w:val="0"/>
        <w:adjustRightInd/>
        <w:snapToGrid/>
        <w:spacing w:before="0" w:after="0"/>
        <w:ind w:left="2053" w:leftChars="0" w:hanging="853" w:firstLineChars="0"/>
        <w:textAlignment w:val="auto"/>
        <w:rPr>
          <w:rFonts w:hint="default" w:ascii="Calibri" w:hAnsi="Calibri" w:cs="Calibri"/>
          <w:sz w:val="21"/>
          <w:szCs w:val="21"/>
        </w:rPr>
      </w:pPr>
      <w:r>
        <w:rPr>
          <w:rFonts w:hint="default" w:ascii="Calibri" w:hAnsi="Calibri" w:cs="Calibri"/>
          <w:sz w:val="21"/>
          <w:szCs w:val="21"/>
        </w:rPr>
        <w:t>Mantiver</w:t>
      </w:r>
      <w:r>
        <w:rPr>
          <w:rFonts w:hint="default" w:ascii="Calibri" w:hAnsi="Calibri" w:cs="Calibri"/>
          <w:sz w:val="21"/>
          <w:szCs w:val="21"/>
          <w:lang w:val="pt-BR"/>
        </w:rPr>
        <w:t>a</w:t>
      </w:r>
      <w:r>
        <w:rPr>
          <w:rFonts w:hint="default" w:ascii="Calibri" w:hAnsi="Calibri" w:cs="Calibri"/>
          <w:sz w:val="21"/>
          <w:szCs w:val="21"/>
        </w:rPr>
        <w:t xml:space="preserve">m sua proposta original. </w:t>
      </w:r>
      <w:bookmarkStart w:id="46" w:name="cadastro_reserva"/>
      <w:bookmarkEnd w:id="46"/>
    </w:p>
    <w:p w14:paraId="3F13B66E">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Será respeitada, nas contratações, a ordem de classificação dos licitantes ou dos fornecedores registrados na ata.</w:t>
      </w:r>
    </w:p>
    <w:p w14:paraId="19360BC8">
      <w:pPr>
        <w:pStyle w:val="137"/>
        <w:keepNext w:val="0"/>
        <w:keepLines w:val="0"/>
        <w:pageBreakBefore w:val="0"/>
        <w:widowControl/>
        <w:numPr>
          <w:ilvl w:val="2"/>
          <w:numId w:val="11"/>
        </w:numPr>
        <w:tabs>
          <w:tab w:val="left" w:pos="960"/>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O registro a que se refere o item 5.</w:t>
      </w:r>
      <w:r>
        <w:rPr>
          <w:rFonts w:hint="default" w:ascii="Calibri" w:hAnsi="Calibri" w:cs="Calibri"/>
          <w:sz w:val="21"/>
          <w:szCs w:val="21"/>
          <w:lang w:val="pt-BR"/>
        </w:rPr>
        <w:t>3</w:t>
      </w:r>
      <w:r>
        <w:rPr>
          <w:rFonts w:hint="default" w:ascii="Calibri" w:hAnsi="Calibri" w:cs="Calibri"/>
          <w:sz w:val="21"/>
          <w:szCs w:val="21"/>
        </w:rPr>
        <w:t>.</w:t>
      </w:r>
      <w:r>
        <w:rPr>
          <w:rFonts w:hint="default" w:ascii="Calibri" w:hAnsi="Calibri" w:cs="Calibri"/>
          <w:sz w:val="21"/>
          <w:szCs w:val="21"/>
          <w:lang w:val="pt-BR"/>
        </w:rPr>
        <w:t>1</w:t>
      </w:r>
      <w:r>
        <w:rPr>
          <w:rFonts w:hint="default" w:ascii="Calibri" w:hAnsi="Calibri" w:cs="Calibri"/>
          <w:b/>
          <w:bCs/>
          <w:sz w:val="21"/>
          <w:szCs w:val="21"/>
        </w:rPr>
        <w:t xml:space="preserve"> </w:t>
      </w:r>
      <w:r>
        <w:rPr>
          <w:rFonts w:hint="default" w:ascii="Calibri" w:hAnsi="Calibri" w:cs="Calibri"/>
          <w:sz w:val="21"/>
          <w:szCs w:val="21"/>
        </w:rPr>
        <w:t>tem por obje</w:t>
      </w:r>
      <w:r>
        <w:rPr>
          <w:rFonts w:hint="default" w:ascii="Calibri" w:hAnsi="Calibri" w:eastAsia="Arial" w:cs="Calibri"/>
          <w:sz w:val="21"/>
          <w:szCs w:val="21"/>
        </w:rPr>
        <w:t>ti</w:t>
      </w:r>
      <w:r>
        <w:rPr>
          <w:rFonts w:hint="default" w:ascii="Calibri" w:hAnsi="Calibri" w:cs="Calibri"/>
          <w:sz w:val="21"/>
          <w:szCs w:val="21"/>
        </w:rPr>
        <w:t>vo a formação de cadastro de reserva para o caso de impossibilidade de atendimento pelo signatário da ata.</w:t>
      </w:r>
    </w:p>
    <w:p w14:paraId="21290852">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Para fins da ordem de classificação, os licitantes ou fornecedores que aceitar</w:t>
      </w:r>
      <w:r>
        <w:rPr>
          <w:rFonts w:hint="default" w:ascii="Calibri" w:hAnsi="Calibri" w:cs="Calibri"/>
          <w:sz w:val="21"/>
          <w:szCs w:val="21"/>
          <w:lang w:val="pt-BR"/>
        </w:rPr>
        <w:t>a</w:t>
      </w:r>
      <w:r>
        <w:rPr>
          <w:rFonts w:hint="default" w:ascii="Calibri" w:hAnsi="Calibri" w:cs="Calibri"/>
          <w:sz w:val="21"/>
          <w:szCs w:val="21"/>
        </w:rPr>
        <w:t>m reduzir suas propostas para o preço do adjudicatário antecederão aqueles que mantiver</w:t>
      </w:r>
      <w:r>
        <w:rPr>
          <w:rFonts w:hint="default" w:ascii="Calibri" w:hAnsi="Calibri" w:cs="Calibri"/>
          <w:sz w:val="21"/>
          <w:szCs w:val="21"/>
          <w:lang w:val="pt-BR"/>
        </w:rPr>
        <w:t>a</w:t>
      </w:r>
      <w:r>
        <w:rPr>
          <w:rFonts w:hint="default" w:ascii="Calibri" w:hAnsi="Calibri" w:cs="Calibri"/>
          <w:sz w:val="21"/>
          <w:szCs w:val="21"/>
        </w:rPr>
        <w:t>m sua proposta original.</w:t>
      </w:r>
    </w:p>
    <w:p w14:paraId="4A242122">
      <w:pPr>
        <w:pStyle w:val="58"/>
        <w:keepNext w:val="0"/>
        <w:keepLines w:val="0"/>
        <w:pageBreakBefore w:val="0"/>
        <w:widowControl/>
        <w:numPr>
          <w:ilvl w:val="1"/>
          <w:numId w:val="11"/>
        </w:numPr>
        <w:tabs>
          <w:tab w:val="left" w:pos="480"/>
        </w:tabs>
        <w:kinsoku/>
        <w:wordWrap/>
        <w:overflowPunct/>
        <w:topLinePunct w:val="0"/>
        <w:autoSpaceDE/>
        <w:autoSpaceDN/>
        <w:bidi w:val="0"/>
        <w:adjustRightInd/>
        <w:snapToGrid/>
        <w:spacing w:before="0" w:after="0"/>
        <w:ind w:left="0" w:leftChars="0" w:firstLine="0" w:firstLineChars="0"/>
        <w:textAlignment w:val="auto"/>
        <w:rPr>
          <w:rFonts w:hint="default" w:ascii="Calibri" w:hAnsi="Calibri" w:cs="Calibri"/>
          <w:sz w:val="21"/>
          <w:szCs w:val="21"/>
        </w:rPr>
      </w:pPr>
      <w:r>
        <w:rPr>
          <w:rFonts w:hint="default" w:ascii="Calibri" w:hAnsi="Calibri" w:cs="Calibri"/>
          <w:sz w:val="21"/>
          <w:szCs w:val="21"/>
        </w:rPr>
        <w:t xml:space="preserve">A habilitação dos licitantes que comporão o cadastro de reserva a que se refere o item </w:t>
      </w:r>
      <w:r>
        <w:rPr>
          <w:rFonts w:hint="default" w:ascii="Calibri" w:hAnsi="Calibri" w:cs="Calibri"/>
          <w:sz w:val="21"/>
          <w:szCs w:val="21"/>
        </w:rPr>
        <w:fldChar w:fldCharType="begin"/>
      </w:r>
      <w:r>
        <w:rPr>
          <w:rFonts w:hint="default" w:ascii="Calibri" w:hAnsi="Calibri" w:cs="Calibri"/>
          <w:sz w:val="21"/>
          <w:szCs w:val="21"/>
        </w:rPr>
        <w:instrText xml:space="preserve"> REF cadastro_reserva \r \h  \* MERGEFORMAT </w:instrText>
      </w:r>
      <w:r>
        <w:rPr>
          <w:rFonts w:hint="default" w:ascii="Calibri" w:hAnsi="Calibri" w:cs="Calibri"/>
          <w:sz w:val="21"/>
          <w:szCs w:val="21"/>
        </w:rPr>
        <w:fldChar w:fldCharType="separate"/>
      </w:r>
      <w:r>
        <w:rPr>
          <w:rFonts w:hint="default" w:ascii="Calibri" w:hAnsi="Calibri" w:cs="Calibri"/>
          <w:sz w:val="21"/>
          <w:szCs w:val="21"/>
        </w:rPr>
        <w:t>5.</w:t>
      </w:r>
      <w:r>
        <w:rPr>
          <w:rFonts w:hint="default" w:ascii="Calibri" w:hAnsi="Calibri" w:cs="Calibri"/>
          <w:sz w:val="21"/>
          <w:szCs w:val="21"/>
          <w:lang w:val="pt-BR"/>
        </w:rPr>
        <w:t>3</w:t>
      </w:r>
      <w:r>
        <w:rPr>
          <w:rFonts w:hint="default" w:ascii="Calibri" w:hAnsi="Calibri" w:cs="Calibri"/>
          <w:sz w:val="21"/>
          <w:szCs w:val="21"/>
        </w:rPr>
        <w:t>.</w:t>
      </w:r>
      <w:r>
        <w:rPr>
          <w:rFonts w:hint="default" w:ascii="Calibri" w:hAnsi="Calibri" w:cs="Calibri"/>
          <w:sz w:val="21"/>
          <w:szCs w:val="21"/>
          <w:lang w:val="pt-BR"/>
        </w:rPr>
        <w:t>3</w:t>
      </w:r>
      <w:r>
        <w:rPr>
          <w:rFonts w:hint="default" w:ascii="Calibri" w:hAnsi="Calibri" w:cs="Calibri"/>
          <w:sz w:val="21"/>
          <w:szCs w:val="21"/>
        </w:rPr>
        <w:fldChar w:fldCharType="end"/>
      </w:r>
      <w:r>
        <w:rPr>
          <w:rFonts w:hint="default" w:ascii="Calibri" w:hAnsi="Calibri" w:cs="Calibri"/>
          <w:sz w:val="21"/>
          <w:szCs w:val="21"/>
        </w:rPr>
        <w:t xml:space="preserve"> somente será efetuada quando houver necessidade de contratação dos licitantes remanescentes, nas seguintes hipóteses:</w:t>
      </w:r>
      <w:bookmarkStart w:id="47" w:name="habilitacao_reserva"/>
      <w:bookmarkEnd w:id="47"/>
    </w:p>
    <w:p w14:paraId="02459F34">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Quando o licitante vencedor não assinar a ata de registro de preços, no prazo e nas condições estabelecidos </w:t>
      </w:r>
      <w:r>
        <w:rPr>
          <w:rFonts w:hint="default" w:ascii="Calibri" w:hAnsi="Calibri" w:cs="Calibri"/>
          <w:i w:val="0"/>
          <w:iCs w:val="0"/>
          <w:color w:val="auto"/>
          <w:sz w:val="21"/>
          <w:szCs w:val="21"/>
        </w:rPr>
        <w:t>no</w:t>
      </w:r>
      <w:r>
        <w:rPr>
          <w:rFonts w:hint="default" w:ascii="Calibri" w:hAnsi="Calibri" w:cs="Calibri"/>
          <w:b/>
          <w:bCs/>
          <w:i w:val="0"/>
          <w:iCs w:val="0"/>
          <w:color w:val="auto"/>
          <w:sz w:val="21"/>
          <w:szCs w:val="21"/>
        </w:rPr>
        <w:t xml:space="preserve"> </w:t>
      </w:r>
      <w:r>
        <w:rPr>
          <w:rFonts w:hint="default" w:ascii="Calibri" w:hAnsi="Calibri" w:cs="Calibri"/>
          <w:b/>
          <w:bCs/>
          <w:i w:val="0"/>
          <w:iCs w:val="0"/>
          <w:color w:val="auto"/>
          <w:sz w:val="21"/>
          <w:szCs w:val="21"/>
          <w:lang w:val="pt-BR"/>
        </w:rPr>
        <w:t>Pregão Eletrônico nº 005/2025</w:t>
      </w:r>
      <w:r>
        <w:rPr>
          <w:rFonts w:hint="default" w:ascii="Calibri" w:hAnsi="Calibri" w:cs="Calibri"/>
          <w:i w:val="0"/>
          <w:iCs w:val="0"/>
          <w:color w:val="auto"/>
          <w:sz w:val="21"/>
          <w:szCs w:val="21"/>
        </w:rPr>
        <w:t>;</w:t>
      </w:r>
      <w:r>
        <w:rPr>
          <w:rFonts w:hint="default" w:ascii="Calibri" w:hAnsi="Calibri" w:cs="Calibri"/>
          <w:i w:val="0"/>
          <w:iCs w:val="0"/>
          <w:color w:val="FF0000"/>
          <w:sz w:val="21"/>
          <w:szCs w:val="21"/>
        </w:rPr>
        <w:t xml:space="preserve"> </w:t>
      </w:r>
      <w:r>
        <w:rPr>
          <w:rFonts w:hint="default" w:ascii="Calibri" w:hAnsi="Calibri" w:cs="Calibri"/>
          <w:sz w:val="21"/>
          <w:szCs w:val="21"/>
        </w:rPr>
        <w:t>e</w:t>
      </w:r>
    </w:p>
    <w:p w14:paraId="5850969E">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Quando houver o cancelamento do registro do licitante ou do registro de preços nas hipóteses previstas no item </w:t>
      </w:r>
      <w:r>
        <w:rPr>
          <w:rFonts w:hint="default" w:ascii="Calibri" w:hAnsi="Calibri" w:cs="Calibri"/>
          <w:sz w:val="21"/>
          <w:szCs w:val="21"/>
        </w:rPr>
        <w:fldChar w:fldCharType="begin"/>
      </w:r>
      <w:r>
        <w:rPr>
          <w:rFonts w:hint="default" w:ascii="Calibri" w:hAnsi="Calibri" w:cs="Calibri"/>
          <w:sz w:val="21"/>
          <w:szCs w:val="21"/>
        </w:rPr>
        <w:instrText xml:space="preserve"> REF cancelamento \r \h  \* MERGEFORMAT </w:instrText>
      </w:r>
      <w:r>
        <w:rPr>
          <w:rFonts w:hint="default" w:ascii="Calibri" w:hAnsi="Calibri" w:cs="Calibri"/>
          <w:sz w:val="21"/>
          <w:szCs w:val="21"/>
        </w:rPr>
        <w:fldChar w:fldCharType="separate"/>
      </w:r>
      <w:r>
        <w:rPr>
          <w:rFonts w:hint="default" w:ascii="Calibri" w:hAnsi="Calibri" w:cs="Calibri"/>
          <w:sz w:val="21"/>
          <w:szCs w:val="21"/>
        </w:rPr>
        <w:t>9</w:t>
      </w:r>
      <w:r>
        <w:rPr>
          <w:rFonts w:hint="default" w:ascii="Calibri" w:hAnsi="Calibri" w:cs="Calibri"/>
          <w:sz w:val="21"/>
          <w:szCs w:val="21"/>
        </w:rPr>
        <w:fldChar w:fldCharType="end"/>
      </w:r>
      <w:r>
        <w:rPr>
          <w:rFonts w:hint="default" w:ascii="Calibri" w:hAnsi="Calibri" w:cs="Calibri"/>
          <w:sz w:val="21"/>
          <w:szCs w:val="21"/>
        </w:rPr>
        <w:t>.</w:t>
      </w:r>
    </w:p>
    <w:p w14:paraId="15DFF733">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O preço registrado com indicação dos licitantes e fornecedores será divulgado no PNCP e ficará disponibilizado durante a vigência da ata de registro de preços.</w:t>
      </w:r>
    </w:p>
    <w:p w14:paraId="5562A5B5">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 xml:space="preserve">A </w:t>
      </w:r>
      <w:r>
        <w:rPr>
          <w:rFonts w:hint="default" w:ascii="Calibri" w:hAnsi="Calibri" w:cs="Calibri"/>
          <w:sz w:val="21"/>
          <w:szCs w:val="21"/>
          <w:lang w:val="pt-BR"/>
        </w:rPr>
        <w:t xml:space="preserve">presente </w:t>
      </w:r>
      <w:r>
        <w:rPr>
          <w:rFonts w:hint="default" w:ascii="Calibri" w:hAnsi="Calibri" w:cs="Calibri"/>
          <w:sz w:val="21"/>
          <w:szCs w:val="21"/>
        </w:rPr>
        <w:t xml:space="preserve">ata de registro de preços </w:t>
      </w:r>
      <w:r>
        <w:rPr>
          <w:rFonts w:hint="default" w:ascii="Calibri" w:hAnsi="Calibri" w:cs="Calibri"/>
          <w:sz w:val="21"/>
          <w:szCs w:val="21"/>
          <w:lang w:val="pt-BR"/>
        </w:rPr>
        <w:t>vai</w:t>
      </w:r>
      <w:r>
        <w:rPr>
          <w:rFonts w:hint="default" w:ascii="Calibri" w:hAnsi="Calibri" w:cs="Calibri"/>
          <w:sz w:val="21"/>
          <w:szCs w:val="21"/>
        </w:rPr>
        <w:t xml:space="preserve"> assinada por meio de assinatura digital e disponibilizada no</w:t>
      </w:r>
      <w:r>
        <w:rPr>
          <w:rFonts w:hint="default" w:ascii="Calibri" w:hAnsi="Calibri" w:cs="Calibri"/>
          <w:sz w:val="21"/>
          <w:szCs w:val="21"/>
          <w:lang w:val="pt-BR"/>
        </w:rPr>
        <w:t xml:space="preserve"> site oficial da Prefeitura, na pasta do processo licitatório</w:t>
      </w:r>
      <w:r>
        <w:rPr>
          <w:rFonts w:hint="default" w:ascii="Calibri" w:hAnsi="Calibri" w:cs="Calibri"/>
          <w:sz w:val="21"/>
          <w:szCs w:val="21"/>
        </w:rPr>
        <w:t>.</w:t>
      </w:r>
    </w:p>
    <w:p w14:paraId="66268591">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 xml:space="preserve">Quando o convocado não assinar a ata de registro de preços no prazo e nas condições estabelecidos no edital ou no aviso de contratação, e observado o disposto no item </w:t>
      </w:r>
      <w:r>
        <w:rPr>
          <w:rFonts w:hint="default" w:ascii="Calibri" w:hAnsi="Calibri" w:cs="Calibri"/>
          <w:sz w:val="21"/>
          <w:szCs w:val="21"/>
        </w:rPr>
        <w:fldChar w:fldCharType="begin"/>
      </w:r>
      <w:r>
        <w:rPr>
          <w:rFonts w:hint="default" w:ascii="Calibri" w:hAnsi="Calibri" w:cs="Calibri"/>
          <w:sz w:val="21"/>
          <w:szCs w:val="21"/>
        </w:rPr>
        <w:instrText xml:space="preserve"> REF habilitacao_reserva \r \h  \* MERGEFORMAT </w:instrText>
      </w:r>
      <w:r>
        <w:rPr>
          <w:rFonts w:hint="default" w:ascii="Calibri" w:hAnsi="Calibri" w:cs="Calibri"/>
          <w:sz w:val="21"/>
          <w:szCs w:val="21"/>
        </w:rPr>
        <w:fldChar w:fldCharType="separate"/>
      </w:r>
      <w:r>
        <w:rPr>
          <w:rFonts w:hint="default" w:ascii="Calibri" w:hAnsi="Calibri" w:cs="Calibri"/>
          <w:sz w:val="21"/>
          <w:szCs w:val="21"/>
        </w:rPr>
        <w:t>5.</w:t>
      </w:r>
      <w:r>
        <w:rPr>
          <w:rFonts w:hint="default" w:ascii="Calibri" w:hAnsi="Calibri" w:cs="Calibri"/>
          <w:sz w:val="21"/>
          <w:szCs w:val="21"/>
          <w:lang w:val="pt-BR"/>
        </w:rPr>
        <w:t>3.1</w:t>
      </w:r>
      <w:r>
        <w:rPr>
          <w:rFonts w:hint="default" w:ascii="Calibri" w:hAnsi="Calibri" w:cs="Calibri"/>
          <w:sz w:val="21"/>
          <w:szCs w:val="21"/>
        </w:rPr>
        <w:fldChar w:fldCharType="end"/>
      </w:r>
      <w:r>
        <w:rPr>
          <w:rFonts w:hint="default" w:ascii="Calibri" w:hAnsi="Calibri" w:cs="Calibri"/>
          <w:sz w:val="21"/>
          <w:szCs w:val="21"/>
        </w:rPr>
        <w:t>, observando o item 5.</w:t>
      </w:r>
      <w:r>
        <w:rPr>
          <w:rFonts w:hint="default" w:ascii="Calibri" w:hAnsi="Calibri" w:cs="Calibri"/>
          <w:sz w:val="21"/>
          <w:szCs w:val="21"/>
          <w:lang w:val="pt-BR"/>
        </w:rPr>
        <w:t>3.1</w:t>
      </w:r>
      <w:r>
        <w:rPr>
          <w:rFonts w:hint="default" w:ascii="Calibri" w:hAnsi="Calibri" w:cs="Calibri"/>
          <w:sz w:val="21"/>
          <w:szCs w:val="21"/>
        </w:rPr>
        <w:t xml:space="preserve"> e subitens, fica facultado à Administração convocar os licitantes remanescentes do cadastro de reserva, na ordem de classificação, para fazê-lo em igual prazo e nas condições propostas pelo primeiro classificado.</w:t>
      </w:r>
      <w:bookmarkStart w:id="48" w:name="recusa_dos_que_baixaram_preco"/>
      <w:bookmarkEnd w:id="48"/>
    </w:p>
    <w:p w14:paraId="064AC4F8">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Na hipótese de nenhum dos licitantes que trata o item 5.</w:t>
      </w:r>
      <w:r>
        <w:rPr>
          <w:rFonts w:hint="default" w:ascii="Calibri" w:hAnsi="Calibri" w:cs="Calibri"/>
          <w:sz w:val="21"/>
          <w:szCs w:val="21"/>
          <w:lang w:val="pt-BR"/>
        </w:rPr>
        <w:t>3.1.1</w:t>
      </w:r>
      <w:r>
        <w:rPr>
          <w:rFonts w:hint="default" w:ascii="Calibri" w:hAnsi="Calibri" w:cs="Calibri"/>
          <w:sz w:val="21"/>
          <w:szCs w:val="21"/>
        </w:rPr>
        <w:t>, aceitar a contratação nos termos do item anterior, a Administração, observados o valor es</w:t>
      </w:r>
      <w:r>
        <w:rPr>
          <w:rFonts w:hint="default" w:ascii="Calibri" w:hAnsi="Calibri" w:eastAsia="Arial" w:cs="Calibri"/>
          <w:sz w:val="21"/>
          <w:szCs w:val="21"/>
        </w:rPr>
        <w:t>ti</w:t>
      </w:r>
      <w:r>
        <w:rPr>
          <w:rFonts w:hint="default" w:ascii="Calibri" w:hAnsi="Calibri" w:cs="Calibri"/>
          <w:sz w:val="21"/>
          <w:szCs w:val="21"/>
        </w:rPr>
        <w:t>mado e sua eventual atualização nos termo</w:t>
      </w:r>
      <w:r>
        <w:rPr>
          <w:rFonts w:hint="default" w:ascii="Calibri" w:hAnsi="Calibri" w:cs="Calibri"/>
          <w:i w:val="0"/>
          <w:iCs w:val="0"/>
          <w:color w:val="auto"/>
          <w:sz w:val="21"/>
          <w:szCs w:val="21"/>
        </w:rPr>
        <w:t>s do</w:t>
      </w:r>
      <w:r>
        <w:rPr>
          <w:rFonts w:hint="default" w:ascii="Calibri" w:hAnsi="Calibri" w:cs="Calibri"/>
          <w:i/>
          <w:iCs/>
          <w:color w:val="FF0000"/>
          <w:sz w:val="21"/>
          <w:szCs w:val="21"/>
        </w:rPr>
        <w:t xml:space="preserve"> </w:t>
      </w:r>
      <w:r>
        <w:rPr>
          <w:rFonts w:hint="default" w:ascii="Calibri" w:hAnsi="Calibri" w:cs="Calibri"/>
          <w:b/>
          <w:bCs/>
          <w:i w:val="0"/>
          <w:iCs w:val="0"/>
          <w:color w:val="auto"/>
          <w:sz w:val="21"/>
          <w:szCs w:val="21"/>
          <w:lang w:val="pt-BR"/>
        </w:rPr>
        <w:t>Pregão Eletrônico nº 005/2025</w:t>
      </w:r>
      <w:r>
        <w:rPr>
          <w:rFonts w:hint="default" w:ascii="Calibri" w:hAnsi="Calibri" w:cs="Calibri"/>
          <w:sz w:val="21"/>
          <w:szCs w:val="21"/>
        </w:rPr>
        <w:t>, poderá:</w:t>
      </w:r>
    </w:p>
    <w:p w14:paraId="68A013C0">
      <w:pPr>
        <w:pStyle w:val="137"/>
        <w:keepNext w:val="0"/>
        <w:keepLines w:val="0"/>
        <w:pageBreakBefore w:val="0"/>
        <w:widowControl/>
        <w:numPr>
          <w:ilvl w:val="2"/>
          <w:numId w:val="11"/>
        </w:numPr>
        <w:tabs>
          <w:tab w:val="left" w:pos="960"/>
          <w:tab w:val="left" w:pos="1200"/>
        </w:tabs>
        <w:kinsoku/>
        <w:wordWrap/>
        <w:overflowPunct/>
        <w:topLinePunct w:val="0"/>
        <w:autoSpaceDE/>
        <w:autoSpaceDN/>
        <w:bidi w:val="0"/>
        <w:adjustRightInd/>
        <w:snapToGrid/>
        <w:spacing w:before="0" w:after="0"/>
        <w:ind w:left="1508" w:leftChars="0" w:hanging="708" w:firstLineChars="0"/>
        <w:textAlignment w:val="auto"/>
        <w:rPr>
          <w:rFonts w:hint="default" w:ascii="Calibri" w:hAnsi="Calibri" w:cs="Calibri"/>
          <w:sz w:val="21"/>
          <w:szCs w:val="21"/>
        </w:rPr>
      </w:pPr>
      <w:r>
        <w:rPr>
          <w:rFonts w:hint="default" w:ascii="Calibri" w:hAnsi="Calibri" w:cs="Calibri"/>
          <w:sz w:val="21"/>
          <w:szCs w:val="21"/>
        </w:rPr>
        <w:t>Convocar para negociação os demais licitantes ou fornecedores remanescentes cujos preços foram registrados sem redução, observada a ordem de classificação, com vistas à obtenção de preço melhor, mesmo que acima do preço do adjudicatário; ou</w:t>
      </w:r>
    </w:p>
    <w:p w14:paraId="3EBB3D0B">
      <w:pPr>
        <w:pStyle w:val="137"/>
        <w:keepNext w:val="0"/>
        <w:keepLines w:val="0"/>
        <w:pageBreakBefore w:val="0"/>
        <w:widowControl/>
        <w:numPr>
          <w:ilvl w:val="2"/>
          <w:numId w:val="11"/>
        </w:numPr>
        <w:tabs>
          <w:tab w:val="left" w:pos="960"/>
          <w:tab w:val="left" w:pos="1200"/>
        </w:tabs>
        <w:kinsoku/>
        <w:wordWrap/>
        <w:overflowPunct/>
        <w:topLinePunct w:val="0"/>
        <w:autoSpaceDE/>
        <w:autoSpaceDN/>
        <w:bidi w:val="0"/>
        <w:adjustRightInd/>
        <w:snapToGrid/>
        <w:spacing w:before="0" w:after="0"/>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Adjudicar e </w:t>
      </w:r>
      <w:r>
        <w:rPr>
          <w:rFonts w:hint="default" w:ascii="Calibri" w:hAnsi="Calibri" w:cs="Calibri"/>
          <w:sz w:val="21"/>
          <w:szCs w:val="21"/>
          <w:lang w:val="pt-BR"/>
        </w:rPr>
        <w:t xml:space="preserve">formalizar ata e </w:t>
      </w:r>
      <w:r>
        <w:rPr>
          <w:rFonts w:hint="default" w:ascii="Calibri" w:hAnsi="Calibri" w:cs="Calibri"/>
          <w:sz w:val="21"/>
          <w:szCs w:val="21"/>
        </w:rPr>
        <w:t xml:space="preserve">firmar </w:t>
      </w:r>
      <w:r>
        <w:rPr>
          <w:rFonts w:hint="default" w:ascii="Calibri" w:hAnsi="Calibri" w:cs="Calibri"/>
          <w:sz w:val="21"/>
          <w:szCs w:val="21"/>
          <w:lang w:val="pt-BR"/>
        </w:rPr>
        <w:t>as contratações</w:t>
      </w:r>
      <w:r>
        <w:rPr>
          <w:rFonts w:hint="default" w:ascii="Calibri" w:hAnsi="Calibri" w:cs="Calibri"/>
          <w:sz w:val="21"/>
          <w:szCs w:val="21"/>
        </w:rPr>
        <w:t xml:space="preserve"> nas condições ofertadas pelos licitantes ou fornecedores remanescentes, atendida a ordem classificatória, quando frustrada a negociação de melhor condição.</w:t>
      </w:r>
    </w:p>
    <w:p w14:paraId="51F6C101">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08918A05">
      <w:pPr>
        <w:pStyle w:val="41"/>
        <w:numPr>
          <w:ilvl w:val="0"/>
          <w:numId w:val="11"/>
        </w:numPr>
        <w:tabs>
          <w:tab w:val="left" w:pos="240"/>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ALTERAÇÃO OU ATUALIZAÇÃO DOS PREÇOS REGISTRADOS</w:t>
      </w:r>
    </w:p>
    <w:p w14:paraId="246531E3">
      <w:pPr>
        <w:rPr>
          <w:rFonts w:hint="default"/>
        </w:rPr>
      </w:pPr>
    </w:p>
    <w:p w14:paraId="1FE18077">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Os preços registrados poderão ser alterados ou atualizados em decorrência de eventual redução dos preços pra</w:t>
      </w:r>
      <w:r>
        <w:rPr>
          <w:rFonts w:hint="default" w:ascii="Calibri" w:hAnsi="Calibri" w:eastAsia="Calibri" w:cs="Calibri"/>
          <w:sz w:val="21"/>
          <w:szCs w:val="21"/>
        </w:rPr>
        <w:t>ti</w:t>
      </w:r>
      <w:r>
        <w:rPr>
          <w:rFonts w:hint="default" w:ascii="Calibri" w:hAnsi="Calibri" w:cs="Calibri"/>
          <w:sz w:val="21"/>
          <w:szCs w:val="21"/>
        </w:rPr>
        <w:t>cados no mercado ou de fato que eleve o custo dos bens, das obras ou dos serviços registrados, nas seguintes situações:</w:t>
      </w:r>
    </w:p>
    <w:p w14:paraId="21E1158B">
      <w:pPr>
        <w:pStyle w:val="137"/>
        <w:keepNext w:val="0"/>
        <w:keepLines w:val="0"/>
        <w:pageBreakBefore w:val="0"/>
        <w:widowControl/>
        <w:numPr>
          <w:ilvl w:val="2"/>
          <w:numId w:val="11"/>
        </w:numPr>
        <w:tabs>
          <w:tab w:val="left" w:pos="960"/>
          <w:tab w:val="left" w:pos="1200"/>
        </w:tabs>
        <w:kinsoku/>
        <w:wordWrap/>
        <w:overflowPunct/>
        <w:topLinePunct w:val="0"/>
        <w:autoSpaceDE/>
        <w:autoSpaceDN/>
        <w:bidi w:val="0"/>
        <w:adjustRightInd/>
        <w:snapToGrid/>
        <w:spacing w:before="0" w:after="0"/>
        <w:ind w:left="1508" w:leftChars="0" w:hanging="708" w:firstLineChars="0"/>
        <w:textAlignment w:val="auto"/>
        <w:rPr>
          <w:rFonts w:hint="default" w:ascii="Calibri" w:hAnsi="Calibri" w:cs="Calibri"/>
          <w:color w:val="auto"/>
          <w:sz w:val="21"/>
          <w:szCs w:val="21"/>
        </w:rPr>
      </w:pPr>
      <w:r>
        <w:rPr>
          <w:rFonts w:hint="default" w:ascii="Calibri" w:hAnsi="Calibri" w:cs="Calibri"/>
          <w:sz w:val="21"/>
          <w:szCs w:val="21"/>
        </w:rPr>
        <w:t xml:space="preserve">Em caso de força maior, caso fortuito ou fato do príncipe ou em decorrência de fatos imprevisíveis ou previsíveis de consequências incalculáveis, que inviabilizem a execução da ata tal como pactuada, nos termos da </w:t>
      </w:r>
      <w:r>
        <w:rPr>
          <w:rFonts w:hint="default" w:ascii="Calibri" w:hAnsi="Calibri" w:cs="Calibri"/>
          <w:color w:val="auto"/>
          <w:sz w:val="21"/>
          <w:szCs w:val="21"/>
        </w:rPr>
        <w:t>alínea “d” do inciso II do caput do art. 124 da Lei nº 14.133, de 2021;</w:t>
      </w:r>
    </w:p>
    <w:p w14:paraId="65002032">
      <w:pPr>
        <w:pStyle w:val="137"/>
        <w:keepNext w:val="0"/>
        <w:keepLines w:val="0"/>
        <w:pageBreakBefore w:val="0"/>
        <w:widowControl/>
        <w:numPr>
          <w:ilvl w:val="2"/>
          <w:numId w:val="11"/>
        </w:numPr>
        <w:tabs>
          <w:tab w:val="left" w:pos="720"/>
          <w:tab w:val="left" w:pos="960"/>
          <w:tab w:val="left" w:pos="1200"/>
        </w:tabs>
        <w:kinsoku/>
        <w:wordWrap/>
        <w:overflowPunct/>
        <w:topLinePunct w:val="0"/>
        <w:autoSpaceDE/>
        <w:autoSpaceDN/>
        <w:bidi w:val="0"/>
        <w:adjustRightInd/>
        <w:snapToGrid/>
        <w:spacing w:before="0" w:after="0"/>
        <w:ind w:left="1508" w:leftChars="0" w:hanging="708" w:firstLineChars="0"/>
        <w:textAlignment w:val="auto"/>
        <w:rPr>
          <w:rFonts w:hint="default" w:ascii="Calibri" w:hAnsi="Calibri" w:cs="Calibri"/>
          <w:sz w:val="21"/>
          <w:szCs w:val="21"/>
        </w:rPr>
      </w:pPr>
      <w:r>
        <w:rPr>
          <w:rFonts w:hint="default" w:ascii="Calibri" w:hAnsi="Calibri" w:cs="Calibri"/>
          <w:sz w:val="21"/>
          <w:szCs w:val="21"/>
        </w:rPr>
        <w:t>Em caso de criação, alteração ou ex</w:t>
      </w:r>
      <w:r>
        <w:rPr>
          <w:rFonts w:hint="default" w:ascii="Calibri" w:hAnsi="Calibri" w:eastAsia="Calibri" w:cs="Calibri"/>
          <w:sz w:val="21"/>
          <w:szCs w:val="21"/>
        </w:rPr>
        <w:t>ti</w:t>
      </w:r>
      <w:r>
        <w:rPr>
          <w:rFonts w:hint="default" w:ascii="Calibri" w:hAnsi="Calibri" w:cs="Calibri"/>
          <w:sz w:val="21"/>
          <w:szCs w:val="21"/>
        </w:rPr>
        <w:t xml:space="preserve">nção de quaisquer tributos ou encargos legais ou a superveniência de disposições legais, com comprovada repercussão sobre os preços registrados; </w:t>
      </w:r>
    </w:p>
    <w:p w14:paraId="33E51BA3">
      <w:pPr>
        <w:pStyle w:val="137"/>
        <w:keepNext w:val="0"/>
        <w:keepLines w:val="0"/>
        <w:pageBreakBefore w:val="0"/>
        <w:widowControl/>
        <w:numPr>
          <w:ilvl w:val="2"/>
          <w:numId w:val="11"/>
        </w:numPr>
        <w:tabs>
          <w:tab w:val="left" w:pos="960"/>
          <w:tab w:val="left" w:pos="1200"/>
        </w:tabs>
        <w:kinsoku/>
        <w:wordWrap/>
        <w:overflowPunct/>
        <w:topLinePunct w:val="0"/>
        <w:autoSpaceDE/>
        <w:autoSpaceDN/>
        <w:bidi w:val="0"/>
        <w:adjustRightInd/>
        <w:snapToGrid/>
        <w:spacing w:before="0" w:after="0"/>
        <w:ind w:left="1508" w:leftChars="0" w:hanging="708" w:firstLineChars="0"/>
        <w:textAlignment w:val="auto"/>
        <w:rPr>
          <w:rFonts w:hint="default" w:ascii="Calibri" w:hAnsi="Calibri" w:cs="Calibri"/>
          <w:sz w:val="21"/>
          <w:szCs w:val="21"/>
        </w:rPr>
      </w:pPr>
      <w:r>
        <w:rPr>
          <w:rFonts w:hint="default" w:ascii="Calibri" w:hAnsi="Calibri" w:cs="Calibri"/>
          <w:sz w:val="21"/>
          <w:szCs w:val="21"/>
        </w:rPr>
        <w:t>Na hipótese de previsão no edital de cláusula de reajustamento ou repactuação sobre os preços registrados, nos termos da Lei nº 14.133, de 2021.</w:t>
      </w:r>
    </w:p>
    <w:p w14:paraId="0D9958E2">
      <w:pPr>
        <w:pStyle w:val="138"/>
        <w:keepNext w:val="0"/>
        <w:keepLines w:val="0"/>
        <w:pageBreakBefore w:val="0"/>
        <w:widowControl/>
        <w:numPr>
          <w:ilvl w:val="3"/>
          <w:numId w:val="11"/>
        </w:numPr>
        <w:kinsoku/>
        <w:wordWrap/>
        <w:overflowPunct/>
        <w:topLinePunct w:val="0"/>
        <w:autoSpaceDE/>
        <w:autoSpaceDN/>
        <w:bidi w:val="0"/>
        <w:adjustRightInd/>
        <w:snapToGrid/>
        <w:spacing w:before="0" w:after="0" w:line="240" w:lineRule="auto"/>
        <w:ind w:left="2053" w:leftChars="0" w:hanging="853" w:firstLineChars="0"/>
        <w:textAlignment w:val="auto"/>
        <w:rPr>
          <w:rFonts w:hint="default" w:ascii="Calibri" w:hAnsi="Calibri" w:cs="Calibri"/>
          <w:sz w:val="21"/>
          <w:szCs w:val="21"/>
        </w:rPr>
      </w:pPr>
      <w:r>
        <w:rPr>
          <w:rFonts w:hint="default" w:ascii="Calibri" w:hAnsi="Calibri" w:cs="Calibri"/>
          <w:sz w:val="21"/>
          <w:szCs w:val="21"/>
        </w:rPr>
        <w:t xml:space="preserve">No caso do reajustamento, deverá ser respeitada a contagem da anualidade e o índice previstos para a contratação;  </w:t>
      </w:r>
    </w:p>
    <w:p w14:paraId="44E56E06">
      <w:pPr>
        <w:pStyle w:val="138"/>
        <w:keepNext w:val="0"/>
        <w:keepLines w:val="0"/>
        <w:pageBreakBefore w:val="0"/>
        <w:widowControl/>
        <w:numPr>
          <w:ilvl w:val="3"/>
          <w:numId w:val="11"/>
        </w:numPr>
        <w:kinsoku/>
        <w:wordWrap/>
        <w:overflowPunct/>
        <w:topLinePunct w:val="0"/>
        <w:autoSpaceDE/>
        <w:autoSpaceDN/>
        <w:bidi w:val="0"/>
        <w:adjustRightInd/>
        <w:snapToGrid/>
        <w:spacing w:before="0" w:after="0" w:line="240" w:lineRule="auto"/>
        <w:ind w:left="2053" w:leftChars="0" w:hanging="853" w:firstLineChars="0"/>
        <w:textAlignment w:val="auto"/>
        <w:rPr>
          <w:rFonts w:hint="default" w:ascii="Calibri" w:hAnsi="Calibri" w:cs="Calibri"/>
          <w:sz w:val="21"/>
          <w:szCs w:val="21"/>
        </w:rPr>
      </w:pPr>
      <w:r>
        <w:rPr>
          <w:rFonts w:hint="default" w:ascii="Calibri" w:hAnsi="Calibri" w:cs="Calibri"/>
          <w:sz w:val="21"/>
          <w:szCs w:val="21"/>
        </w:rPr>
        <w:t>No caso da repactuação, poderá ser a pedido do interessado, conforme critérios definidos para a contratação.</w:t>
      </w:r>
    </w:p>
    <w:p w14:paraId="34C7AE6B">
      <w:pPr>
        <w:pStyle w:val="138"/>
        <w:keepNext w:val="0"/>
        <w:keepLines w:val="0"/>
        <w:pageBreakBefore w:val="0"/>
        <w:widowControl/>
        <w:numPr>
          <w:ilvl w:val="3"/>
          <w:numId w:val="0"/>
        </w:numPr>
        <w:kinsoku/>
        <w:wordWrap/>
        <w:overflowPunct/>
        <w:topLinePunct w:val="0"/>
        <w:autoSpaceDE/>
        <w:autoSpaceDN/>
        <w:bidi w:val="0"/>
        <w:adjustRightInd/>
        <w:snapToGrid/>
        <w:spacing w:before="0" w:after="0" w:line="240" w:lineRule="auto"/>
        <w:ind w:leftChars="301"/>
        <w:textAlignment w:val="auto"/>
        <w:rPr>
          <w:rFonts w:hint="default" w:ascii="Calibri" w:hAnsi="Calibri" w:cs="Calibri"/>
          <w:sz w:val="21"/>
          <w:szCs w:val="21"/>
        </w:rPr>
      </w:pPr>
    </w:p>
    <w:p w14:paraId="5B33C998">
      <w:pPr>
        <w:pStyle w:val="138"/>
        <w:keepNext w:val="0"/>
        <w:keepLines w:val="0"/>
        <w:pageBreakBefore w:val="0"/>
        <w:widowControl/>
        <w:numPr>
          <w:ilvl w:val="3"/>
          <w:numId w:val="0"/>
        </w:numPr>
        <w:kinsoku/>
        <w:wordWrap/>
        <w:overflowPunct/>
        <w:topLinePunct w:val="0"/>
        <w:autoSpaceDE/>
        <w:autoSpaceDN/>
        <w:bidi w:val="0"/>
        <w:adjustRightInd/>
        <w:snapToGrid/>
        <w:spacing w:before="0" w:after="0" w:line="240" w:lineRule="auto"/>
        <w:ind w:leftChars="301"/>
        <w:textAlignment w:val="auto"/>
        <w:rPr>
          <w:rFonts w:hint="default" w:ascii="Calibri" w:hAnsi="Calibri" w:cs="Calibri"/>
          <w:sz w:val="21"/>
          <w:szCs w:val="21"/>
        </w:rPr>
      </w:pPr>
    </w:p>
    <w:p w14:paraId="3E58AB5F">
      <w:pPr>
        <w:pStyle w:val="41"/>
        <w:pageBreakBefore w:val="0"/>
        <w:widowControl/>
        <w:numPr>
          <w:ilvl w:val="0"/>
          <w:numId w:val="11"/>
        </w:numPr>
        <w:kinsoku/>
        <w:wordWrap/>
        <w:overflowPunct/>
        <w:topLinePunct w:val="0"/>
        <w:autoSpaceDE/>
        <w:autoSpaceDN/>
        <w:bidi w:val="0"/>
        <w:adjustRightInd/>
        <w:snapToGrid/>
        <w:spacing w:before="0" w:line="240" w:lineRule="auto"/>
        <w:ind w:left="0" w:leftChars="0" w:firstLine="0" w:firstLineChars="0"/>
        <w:textAlignment w:val="auto"/>
        <w:rPr>
          <w:rFonts w:hint="default" w:ascii="Calibri" w:hAnsi="Calibri" w:cs="Calibri"/>
          <w:sz w:val="21"/>
          <w:szCs w:val="21"/>
        </w:rPr>
      </w:pPr>
      <w:r>
        <w:rPr>
          <w:rFonts w:hint="default" w:ascii="Calibri" w:hAnsi="Calibri" w:cs="Calibri"/>
          <w:sz w:val="21"/>
          <w:szCs w:val="21"/>
        </w:rPr>
        <w:t>NEGOCIAÇÃO DE PREÇOS REGISTRADOS</w:t>
      </w:r>
    </w:p>
    <w:p w14:paraId="262FE127">
      <w:pPr>
        <w:pageBreakBefore w:val="0"/>
        <w:widowControl/>
        <w:kinsoku/>
        <w:wordWrap/>
        <w:overflowPunct/>
        <w:topLinePunct w:val="0"/>
        <w:autoSpaceDE/>
        <w:autoSpaceDN/>
        <w:bidi w:val="0"/>
        <w:adjustRightInd/>
        <w:snapToGrid/>
        <w:spacing w:line="240" w:lineRule="auto"/>
        <w:textAlignment w:val="auto"/>
        <w:rPr>
          <w:rFonts w:hint="default"/>
        </w:rPr>
      </w:pPr>
    </w:p>
    <w:p w14:paraId="59B1C803">
      <w:pPr>
        <w:pStyle w:val="58"/>
        <w:keepNext w:val="0"/>
        <w:keepLines w:val="0"/>
        <w:pageBreakBefore w:val="0"/>
        <w:widowControl/>
        <w:numPr>
          <w:ilvl w:val="1"/>
          <w:numId w:val="11"/>
        </w:numPr>
        <w:kinsoku/>
        <w:wordWrap/>
        <w:overflowPunct/>
        <w:topLinePunct w:val="0"/>
        <w:autoSpaceDE/>
        <w:autoSpaceDN/>
        <w:bidi w:val="0"/>
        <w:adjustRightInd/>
        <w:snapToGrid/>
        <w:spacing w:before="181" w:beforeLines="50" w:after="181" w:afterLines="50" w:line="240" w:lineRule="auto"/>
        <w:ind w:left="0" w:leftChars="0" w:firstLine="0" w:firstLineChars="0"/>
        <w:textAlignment w:val="auto"/>
        <w:rPr>
          <w:rFonts w:hint="default" w:ascii="Calibri" w:hAnsi="Calibri" w:cs="Calibri"/>
          <w:sz w:val="21"/>
          <w:szCs w:val="21"/>
        </w:rPr>
      </w:pPr>
      <w:r>
        <w:rPr>
          <w:rFonts w:hint="default" w:ascii="Calibri" w:hAnsi="Calibri" w:cs="Calibri"/>
          <w:sz w:val="21"/>
          <w:szCs w:val="21"/>
        </w:rPr>
        <w:t>Na hipótese de o preço registrado tornar-se superior ao preço pra</w:t>
      </w:r>
      <w:r>
        <w:rPr>
          <w:rFonts w:hint="default" w:ascii="Calibri" w:hAnsi="Calibri" w:eastAsia="Calibri" w:cs="Calibri"/>
          <w:sz w:val="21"/>
          <w:szCs w:val="21"/>
        </w:rPr>
        <w:t>ti</w:t>
      </w:r>
      <w:r>
        <w:rPr>
          <w:rFonts w:hint="default" w:ascii="Calibri" w:hAnsi="Calibri" w:cs="Calibri"/>
          <w:sz w:val="21"/>
          <w:szCs w:val="21"/>
        </w:rPr>
        <w:t>cado no mercado por mo</w:t>
      </w:r>
      <w:r>
        <w:rPr>
          <w:rFonts w:hint="default" w:ascii="Calibri" w:hAnsi="Calibri" w:eastAsia="Calibri" w:cs="Calibri"/>
          <w:sz w:val="21"/>
          <w:szCs w:val="21"/>
        </w:rPr>
        <w:t>ti</w:t>
      </w:r>
      <w:r>
        <w:rPr>
          <w:rFonts w:hint="default" w:ascii="Calibri" w:hAnsi="Calibri" w:cs="Calibri"/>
          <w:sz w:val="21"/>
          <w:szCs w:val="21"/>
        </w:rPr>
        <w:t>vo superveniente, o órgão</w:t>
      </w:r>
      <w:r>
        <w:rPr>
          <w:rFonts w:hint="default" w:ascii="Calibri" w:hAnsi="Calibri" w:cs="Calibri"/>
          <w:sz w:val="21"/>
          <w:szCs w:val="21"/>
          <w:lang w:val="pt-BR"/>
        </w:rPr>
        <w:t xml:space="preserve"> </w:t>
      </w:r>
      <w:r>
        <w:rPr>
          <w:rFonts w:hint="default" w:ascii="Calibri" w:hAnsi="Calibri" w:cs="Calibri"/>
          <w:sz w:val="21"/>
          <w:szCs w:val="21"/>
        </w:rPr>
        <w:t>gerenciador convocará o fornecedor para negociar a redução do preço registrado.</w:t>
      </w:r>
    </w:p>
    <w:p w14:paraId="649F2109">
      <w:pPr>
        <w:pStyle w:val="137"/>
        <w:keepNext w:val="0"/>
        <w:keepLines w:val="0"/>
        <w:pageBreakBefore w:val="0"/>
        <w:widowControl/>
        <w:numPr>
          <w:ilvl w:val="2"/>
          <w:numId w:val="11"/>
        </w:numPr>
        <w:tabs>
          <w:tab w:val="left" w:pos="960"/>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Caso não aceite reduzir seu preço aos valores pra</w:t>
      </w:r>
      <w:r>
        <w:rPr>
          <w:rFonts w:hint="default" w:ascii="Calibri" w:hAnsi="Calibri" w:eastAsia="Calibri" w:cs="Calibri"/>
          <w:sz w:val="21"/>
          <w:szCs w:val="21"/>
        </w:rPr>
        <w:t>ti</w:t>
      </w:r>
      <w:r>
        <w:rPr>
          <w:rFonts w:hint="default" w:ascii="Calibri" w:hAnsi="Calibri" w:cs="Calibri"/>
          <w:sz w:val="21"/>
          <w:szCs w:val="21"/>
        </w:rPr>
        <w:t>cados pelo mercado, o fornecedor será liberado do compromisso assumido quanto ao item registrado, sem aplicação de penalidades administrativas.</w:t>
      </w:r>
    </w:p>
    <w:p w14:paraId="399D1957">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2122A36C">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Se não obtiver êxito nas negociações, o órgão gerenciador procederá ao cancelamento da ata de registro de preços, adotando as medidas cabíveis para obtenção de contratação mais vantajosa.</w:t>
      </w:r>
      <w:bookmarkStart w:id="49" w:name="reducao_preco_mercado_negociacao_frustra"/>
      <w:bookmarkEnd w:id="49"/>
    </w:p>
    <w:p w14:paraId="1054750A">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Na hipótese de redução do preço registrado, o gerenciador comunicará aos órgãos e às en</w:t>
      </w:r>
      <w:r>
        <w:rPr>
          <w:rFonts w:hint="default" w:ascii="Calibri" w:hAnsi="Calibri" w:eastAsia="Calibri" w:cs="Calibri"/>
          <w:sz w:val="21"/>
          <w:szCs w:val="21"/>
        </w:rPr>
        <w:t>ti</w:t>
      </w:r>
      <w:r>
        <w:rPr>
          <w:rFonts w:hint="default" w:ascii="Calibri" w:hAnsi="Calibri" w:cs="Calibri"/>
          <w:sz w:val="21"/>
          <w:szCs w:val="21"/>
        </w:rPr>
        <w:t xml:space="preserve">dades que </w:t>
      </w:r>
      <w:r>
        <w:rPr>
          <w:rFonts w:hint="default" w:ascii="Calibri" w:hAnsi="Calibri" w:eastAsia="Calibri" w:cs="Calibri"/>
          <w:sz w:val="21"/>
          <w:szCs w:val="21"/>
        </w:rPr>
        <w:t>ti</w:t>
      </w:r>
      <w:r>
        <w:rPr>
          <w:rFonts w:hint="default" w:ascii="Calibri" w:hAnsi="Calibri" w:cs="Calibri"/>
          <w:sz w:val="21"/>
          <w:szCs w:val="21"/>
        </w:rPr>
        <w:t>verem firmado contratos decorrentes da ata de registro de preços para que avaliem a conveniência e a oportunidade de diligenciarem negociação com vistas à alteração contratual, observado o disposto no art. 124 da Lei nº 14.133, de 2021.</w:t>
      </w:r>
    </w:p>
    <w:p w14:paraId="0B865F41">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50" w:name="hipotese_preco_mercado_maior"/>
      <w:bookmarkEnd w:id="50"/>
    </w:p>
    <w:p w14:paraId="75DB224A">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Neste caso, o fornecedor encaminhará, juntamente com o pedido de alteração, a documentação comprobatória ou a planilha de custos que demonstre a inviabilidade do preço registrado em relação às condições inicialmente pactuadas.</w:t>
      </w:r>
      <w:bookmarkStart w:id="51" w:name="prova_preco_mercado_maior"/>
      <w:bookmarkEnd w:id="51"/>
    </w:p>
    <w:p w14:paraId="0F1DEBBE">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Não hipótese de não comprovação da existência de fato superveniente que inviabilize o preço registrado, o pedido será indeferido pelo órgão gerenciador e o fornecedor deverá cumprir as obrigações estabelecidas na ata, sob pena de cancelamento do seu registro, nos termos do item </w:t>
      </w:r>
      <w:r>
        <w:rPr>
          <w:rFonts w:hint="default" w:ascii="Calibri" w:hAnsi="Calibri" w:cs="Calibri"/>
          <w:sz w:val="21"/>
          <w:szCs w:val="21"/>
        </w:rPr>
        <w:fldChar w:fldCharType="begin"/>
      </w:r>
      <w:r>
        <w:rPr>
          <w:rFonts w:hint="default" w:ascii="Calibri" w:hAnsi="Calibri" w:cs="Calibri"/>
          <w:sz w:val="21"/>
          <w:szCs w:val="21"/>
        </w:rPr>
        <w:instrText xml:space="preserve"> REF cancelamento_do_fornecedor \r \h  \* MERGEFORMAT </w:instrText>
      </w:r>
      <w:r>
        <w:rPr>
          <w:rFonts w:hint="default" w:ascii="Calibri" w:hAnsi="Calibri" w:cs="Calibri"/>
          <w:sz w:val="21"/>
          <w:szCs w:val="21"/>
        </w:rPr>
        <w:fldChar w:fldCharType="separate"/>
      </w:r>
      <w:r>
        <w:rPr>
          <w:rFonts w:hint="default" w:ascii="Calibri" w:hAnsi="Calibri" w:cs="Calibri"/>
          <w:sz w:val="21"/>
          <w:szCs w:val="21"/>
        </w:rPr>
        <w:t>9.1</w:t>
      </w:r>
      <w:r>
        <w:rPr>
          <w:rFonts w:hint="default" w:ascii="Calibri" w:hAnsi="Calibri" w:cs="Calibri"/>
          <w:sz w:val="21"/>
          <w:szCs w:val="21"/>
        </w:rPr>
        <w:fldChar w:fldCharType="end"/>
      </w:r>
      <w:r>
        <w:rPr>
          <w:rFonts w:hint="default" w:ascii="Calibri" w:hAnsi="Calibri" w:cs="Calibri"/>
          <w:sz w:val="21"/>
          <w:szCs w:val="21"/>
        </w:rPr>
        <w:t xml:space="preserve">, sem prejuízo das sanções previstas na Lei nº 14.133, de 2021, </w:t>
      </w:r>
      <w:r>
        <w:rPr>
          <w:rFonts w:hint="default" w:ascii="Calibri" w:hAnsi="Calibri" w:cs="Calibri"/>
          <w:sz w:val="21"/>
          <w:szCs w:val="21"/>
          <w:lang w:val="pt-BR"/>
        </w:rPr>
        <w:t xml:space="preserve">Decreto Municipal 8.058/23, </w:t>
      </w:r>
      <w:r>
        <w:rPr>
          <w:rFonts w:hint="default" w:ascii="Calibri" w:hAnsi="Calibri" w:cs="Calibri"/>
          <w:sz w:val="21"/>
          <w:szCs w:val="21"/>
        </w:rPr>
        <w:t>e na legislação aplicável.</w:t>
      </w:r>
      <w:bookmarkStart w:id="52" w:name="nao_comprovacao_majoracao_mercado"/>
      <w:bookmarkEnd w:id="52"/>
    </w:p>
    <w:p w14:paraId="69296B8A">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ind w:left="1508" w:leftChars="0" w:hanging="708" w:firstLineChars="0"/>
        <w:textAlignment w:val="auto"/>
        <w:rPr>
          <w:rFonts w:hint="default" w:ascii="Calibri" w:hAnsi="Calibri" w:cs="Calibri"/>
          <w:sz w:val="21"/>
          <w:szCs w:val="21"/>
        </w:rPr>
      </w:pPr>
      <w:r>
        <w:rPr>
          <w:rFonts w:hint="default" w:ascii="Calibri" w:hAnsi="Calibri" w:cs="Calibri"/>
          <w:sz w:val="21"/>
          <w:szCs w:val="21"/>
        </w:rPr>
        <w:t>Na hipótese de cancelamento do registro do fornecedor, nos termos do item anterior, o gerenciador convocará os fornecedores do cadastro de reserva, na ordem de classificação, para verificar se aceitam manter seus preços registrados, observado o disposto no item 5.</w:t>
      </w:r>
      <w:r>
        <w:rPr>
          <w:rFonts w:hint="default" w:ascii="Calibri" w:hAnsi="Calibri" w:cs="Calibri"/>
          <w:sz w:val="21"/>
          <w:szCs w:val="21"/>
          <w:lang w:val="pt-BR"/>
        </w:rPr>
        <w:t>3.1</w:t>
      </w:r>
      <w:r>
        <w:rPr>
          <w:rFonts w:hint="default" w:ascii="Calibri" w:hAnsi="Calibri" w:cs="Calibri"/>
          <w:sz w:val="21"/>
          <w:szCs w:val="21"/>
        </w:rPr>
        <w:t>.</w:t>
      </w:r>
    </w:p>
    <w:p w14:paraId="0993CEE9">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Se não obtiver êxito nas negociações, o órgão gerenciador procederá ao cancelamento da ata de registro de preços, </w:t>
      </w:r>
      <w:r>
        <w:rPr>
          <w:rFonts w:hint="default" w:ascii="Calibri" w:hAnsi="Calibri" w:cs="Calibri"/>
          <w:sz w:val="21"/>
          <w:szCs w:val="21"/>
          <w:lang w:val="pt-BR"/>
        </w:rPr>
        <w:t>e</w:t>
      </w:r>
      <w:r>
        <w:rPr>
          <w:rFonts w:hint="default" w:ascii="Calibri" w:hAnsi="Calibri" w:cs="Calibri"/>
          <w:sz w:val="21"/>
          <w:szCs w:val="21"/>
        </w:rPr>
        <w:t xml:space="preserve"> adotará as medidas cabíveis para a obtenção da contratação mais vantajosa.</w:t>
      </w:r>
      <w:bookmarkStart w:id="53" w:name="majora_preco_mercado_negociacao_frustra"/>
      <w:bookmarkEnd w:id="53"/>
    </w:p>
    <w:p w14:paraId="334212C8">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Na hipótese de comprovação da majoração do preço de mercado que inviabilize o preço registrado, conforme previsto no item </w:t>
      </w:r>
      <w:r>
        <w:rPr>
          <w:rFonts w:hint="default" w:ascii="Calibri" w:hAnsi="Calibri" w:cs="Calibri"/>
          <w:sz w:val="21"/>
          <w:szCs w:val="21"/>
        </w:rPr>
        <w:fldChar w:fldCharType="begin"/>
      </w:r>
      <w:r>
        <w:rPr>
          <w:rFonts w:hint="default" w:ascii="Calibri" w:hAnsi="Calibri" w:cs="Calibri"/>
          <w:sz w:val="21"/>
          <w:szCs w:val="21"/>
        </w:rPr>
        <w:instrText xml:space="preserve"> REF hipotese_preco_mercado_maior \r \h  \* MERGEFORMAT </w:instrText>
      </w:r>
      <w:r>
        <w:rPr>
          <w:rFonts w:hint="default" w:ascii="Calibri" w:hAnsi="Calibri" w:cs="Calibri"/>
          <w:sz w:val="21"/>
          <w:szCs w:val="21"/>
        </w:rPr>
        <w:fldChar w:fldCharType="separate"/>
      </w:r>
      <w:r>
        <w:rPr>
          <w:rFonts w:hint="default" w:ascii="Calibri" w:hAnsi="Calibri" w:cs="Calibri"/>
          <w:sz w:val="21"/>
          <w:szCs w:val="21"/>
        </w:rPr>
        <w:t>7.2</w:t>
      </w:r>
      <w:r>
        <w:rPr>
          <w:rFonts w:hint="default" w:ascii="Calibri" w:hAnsi="Calibri" w:cs="Calibri"/>
          <w:sz w:val="21"/>
          <w:szCs w:val="21"/>
        </w:rPr>
        <w:fldChar w:fldCharType="end"/>
      </w:r>
      <w:r>
        <w:rPr>
          <w:rFonts w:hint="default" w:ascii="Calibri" w:hAnsi="Calibri" w:cs="Calibri"/>
          <w:sz w:val="21"/>
          <w:szCs w:val="21"/>
        </w:rPr>
        <w:t xml:space="preserve"> e no item </w:t>
      </w:r>
      <w:r>
        <w:rPr>
          <w:rFonts w:hint="default" w:ascii="Calibri" w:hAnsi="Calibri" w:cs="Calibri"/>
          <w:sz w:val="21"/>
          <w:szCs w:val="21"/>
        </w:rPr>
        <w:fldChar w:fldCharType="begin"/>
      </w:r>
      <w:r>
        <w:rPr>
          <w:rFonts w:hint="default" w:ascii="Calibri" w:hAnsi="Calibri" w:cs="Calibri"/>
          <w:sz w:val="21"/>
          <w:szCs w:val="21"/>
        </w:rPr>
        <w:instrText xml:space="preserve"> REF prova_preco_mercado_maior \r \h  \* MERGEFORMAT </w:instrText>
      </w:r>
      <w:r>
        <w:rPr>
          <w:rFonts w:hint="default" w:ascii="Calibri" w:hAnsi="Calibri" w:cs="Calibri"/>
          <w:sz w:val="21"/>
          <w:szCs w:val="21"/>
        </w:rPr>
        <w:fldChar w:fldCharType="separate"/>
      </w:r>
      <w:r>
        <w:rPr>
          <w:rFonts w:hint="default" w:ascii="Calibri" w:hAnsi="Calibri" w:cs="Calibri"/>
          <w:sz w:val="21"/>
          <w:szCs w:val="21"/>
        </w:rPr>
        <w:t>7.2.1</w:t>
      </w:r>
      <w:r>
        <w:rPr>
          <w:rFonts w:hint="default" w:ascii="Calibri" w:hAnsi="Calibri" w:cs="Calibri"/>
          <w:sz w:val="21"/>
          <w:szCs w:val="21"/>
        </w:rPr>
        <w:fldChar w:fldCharType="end"/>
      </w:r>
      <w:r>
        <w:rPr>
          <w:rFonts w:hint="default" w:ascii="Calibri" w:hAnsi="Calibri" w:cs="Calibri"/>
          <w:sz w:val="21"/>
          <w:szCs w:val="21"/>
        </w:rPr>
        <w:t>, o órgão gerenciador atualizará o preço registrado, de acordo com a realidade dos valores praticados pelo mercado</w:t>
      </w:r>
      <w:r>
        <w:rPr>
          <w:rFonts w:hint="default" w:ascii="Calibri" w:hAnsi="Calibri" w:cs="Calibri"/>
          <w:sz w:val="21"/>
          <w:szCs w:val="21"/>
          <w:lang w:val="pt-BR"/>
        </w:rPr>
        <w:t>, através de termo de aditamento a presente ata.</w:t>
      </w:r>
    </w:p>
    <w:p w14:paraId="391AB7B9">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 O órgão gerenciador comunicará aos órgãos e às en</w:t>
      </w:r>
      <w:r>
        <w:rPr>
          <w:rFonts w:hint="default" w:ascii="Calibri" w:hAnsi="Calibri" w:eastAsia="Calibri" w:cs="Calibri"/>
          <w:sz w:val="21"/>
          <w:szCs w:val="21"/>
        </w:rPr>
        <w:t>ti</w:t>
      </w:r>
      <w:r>
        <w:rPr>
          <w:rFonts w:hint="default" w:ascii="Calibri" w:hAnsi="Calibri" w:cs="Calibri"/>
          <w:sz w:val="21"/>
          <w:szCs w:val="21"/>
        </w:rPr>
        <w:t xml:space="preserve">dades que </w:t>
      </w:r>
      <w:r>
        <w:rPr>
          <w:rFonts w:hint="default" w:ascii="Calibri" w:hAnsi="Calibri" w:eastAsia="Calibri" w:cs="Calibri"/>
          <w:sz w:val="21"/>
          <w:szCs w:val="21"/>
        </w:rPr>
        <w:t>ti</w:t>
      </w:r>
      <w:r>
        <w:rPr>
          <w:rFonts w:hint="default" w:ascii="Calibri" w:hAnsi="Calibri" w:cs="Calibri"/>
          <w:sz w:val="21"/>
          <w:szCs w:val="21"/>
        </w:rPr>
        <w:t>verem firmado contratos decorrentes da ata de registro de preços sobre a efe</w:t>
      </w:r>
      <w:r>
        <w:rPr>
          <w:rFonts w:hint="default" w:ascii="Calibri" w:hAnsi="Calibri" w:eastAsia="Calibri" w:cs="Calibri"/>
          <w:sz w:val="21"/>
          <w:szCs w:val="21"/>
        </w:rPr>
        <w:t>ti</w:t>
      </w:r>
      <w:r>
        <w:rPr>
          <w:rFonts w:hint="default" w:ascii="Calibri" w:hAnsi="Calibri" w:cs="Calibri"/>
          <w:sz w:val="21"/>
          <w:szCs w:val="21"/>
        </w:rPr>
        <w:t>va alteração do preço registrado, para que avaliem a necessidade de alteração contratual, observado o disposto no art. 124 da Lei nº 14.133, de 2021.</w:t>
      </w:r>
    </w:p>
    <w:p w14:paraId="566B1424">
      <w:pPr>
        <w:pStyle w:val="41"/>
        <w:numPr>
          <w:ilvl w:val="0"/>
          <w:numId w:val="11"/>
        </w:numPr>
        <w:tabs>
          <w:tab w:val="left" w:pos="240"/>
        </w:tabs>
        <w:ind w:left="0" w:leftChars="0" w:firstLine="0" w:firstLineChars="0"/>
        <w:rPr>
          <w:rFonts w:hint="default" w:ascii="Calibri" w:hAnsi="Calibri" w:cs="Calibri"/>
          <w:sz w:val="21"/>
          <w:szCs w:val="21"/>
        </w:rPr>
      </w:pPr>
      <w:r>
        <w:rPr>
          <w:rFonts w:hint="default" w:ascii="Calibri" w:hAnsi="Calibri" w:cs="Calibri"/>
          <w:sz w:val="21"/>
          <w:szCs w:val="21"/>
        </w:rPr>
        <w:t>REMANEJAMENTO DAS QUANTIDADES REGISTRADAS NA ATA DE REGISTRO DE PREÇOS</w:t>
      </w:r>
    </w:p>
    <w:p w14:paraId="5C4C80E0">
      <w:pPr>
        <w:rPr>
          <w:rFonts w:hint="default"/>
        </w:rPr>
      </w:pPr>
    </w:p>
    <w:p w14:paraId="0A07404B">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 xml:space="preserve"> As quan</w:t>
      </w:r>
      <w:r>
        <w:rPr>
          <w:rFonts w:hint="default" w:ascii="Calibri" w:hAnsi="Calibri" w:eastAsia="Arial" w:cs="Calibri"/>
          <w:sz w:val="21"/>
          <w:szCs w:val="21"/>
        </w:rPr>
        <w:t>ti</w:t>
      </w:r>
      <w:r>
        <w:rPr>
          <w:rFonts w:hint="default" w:ascii="Calibri" w:hAnsi="Calibri" w:cs="Calibri"/>
          <w:sz w:val="21"/>
          <w:szCs w:val="21"/>
        </w:rPr>
        <w:t>dades previstas para os itens com preços registrados n</w:t>
      </w:r>
      <w:r>
        <w:rPr>
          <w:rFonts w:hint="default" w:ascii="Calibri" w:hAnsi="Calibri" w:cs="Calibri"/>
          <w:sz w:val="21"/>
          <w:szCs w:val="21"/>
          <w:lang w:val="pt-BR"/>
        </w:rPr>
        <w:t>est</w:t>
      </w:r>
      <w:r>
        <w:rPr>
          <w:rFonts w:hint="default" w:ascii="Calibri" w:hAnsi="Calibri" w:cs="Calibri"/>
          <w:sz w:val="21"/>
          <w:szCs w:val="21"/>
        </w:rPr>
        <w:t>a ata de registro de preços poderão ser remanejadas pelo órgão gerenciador entre os órgãos ou as en</w:t>
      </w:r>
      <w:r>
        <w:rPr>
          <w:rFonts w:hint="default" w:ascii="Calibri" w:hAnsi="Calibri" w:eastAsia="Arial" w:cs="Calibri"/>
          <w:sz w:val="21"/>
          <w:szCs w:val="21"/>
        </w:rPr>
        <w:t>ti</w:t>
      </w:r>
      <w:r>
        <w:rPr>
          <w:rFonts w:hint="default" w:ascii="Calibri" w:hAnsi="Calibri" w:cs="Calibri"/>
          <w:sz w:val="21"/>
          <w:szCs w:val="21"/>
        </w:rPr>
        <w:t>dades par</w:t>
      </w:r>
      <w:r>
        <w:rPr>
          <w:rFonts w:hint="default" w:ascii="Calibri" w:hAnsi="Calibri" w:eastAsia="Arial" w:cs="Calibri"/>
          <w:sz w:val="21"/>
          <w:szCs w:val="21"/>
        </w:rPr>
        <w:t>ti</w:t>
      </w:r>
      <w:r>
        <w:rPr>
          <w:rFonts w:hint="default" w:ascii="Calibri" w:hAnsi="Calibri" w:cs="Calibri"/>
          <w:sz w:val="21"/>
          <w:szCs w:val="21"/>
        </w:rPr>
        <w:t>cipantes e não par</w:t>
      </w:r>
      <w:r>
        <w:rPr>
          <w:rFonts w:hint="default" w:ascii="Calibri" w:hAnsi="Calibri" w:eastAsia="Arial" w:cs="Calibri"/>
          <w:sz w:val="21"/>
          <w:szCs w:val="21"/>
        </w:rPr>
        <w:t>ti</w:t>
      </w:r>
      <w:r>
        <w:rPr>
          <w:rFonts w:hint="default" w:ascii="Calibri" w:hAnsi="Calibri" w:cs="Calibri"/>
          <w:sz w:val="21"/>
          <w:szCs w:val="21"/>
        </w:rPr>
        <w:t>cipantes do registro de preços.</w:t>
      </w:r>
    </w:p>
    <w:p w14:paraId="352A5076">
      <w:pPr>
        <w:pStyle w:val="58"/>
        <w:numPr>
          <w:ilvl w:val="1"/>
          <w:numId w:val="11"/>
        </w:numPr>
        <w:tabs>
          <w:tab w:val="left" w:pos="480"/>
          <w:tab w:val="left" w:pos="1200"/>
        </w:tabs>
        <w:ind w:left="0" w:leftChars="0" w:firstLine="0" w:firstLineChars="0"/>
        <w:rPr>
          <w:rFonts w:hint="default" w:ascii="Calibri" w:hAnsi="Calibri" w:cs="Calibri"/>
          <w:sz w:val="21"/>
          <w:szCs w:val="21"/>
        </w:rPr>
      </w:pPr>
      <w:r>
        <w:rPr>
          <w:rFonts w:hint="default" w:ascii="Calibri" w:hAnsi="Calibri" w:cs="Calibri"/>
          <w:sz w:val="21"/>
          <w:szCs w:val="21"/>
        </w:rPr>
        <w:t xml:space="preserve"> O remanejamento somente poderá ser feito:</w:t>
      </w:r>
    </w:p>
    <w:p w14:paraId="2E162CF0">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De órgão ou en</w:t>
      </w:r>
      <w:r>
        <w:rPr>
          <w:rFonts w:hint="default" w:ascii="Calibri" w:hAnsi="Calibri" w:eastAsia="Arial" w:cs="Calibri"/>
          <w:sz w:val="21"/>
          <w:szCs w:val="21"/>
        </w:rPr>
        <w:t>ti</w:t>
      </w:r>
      <w:r>
        <w:rPr>
          <w:rFonts w:hint="default" w:ascii="Calibri" w:hAnsi="Calibri" w:cs="Calibri"/>
          <w:sz w:val="21"/>
          <w:szCs w:val="21"/>
        </w:rPr>
        <w:t>dade par</w:t>
      </w:r>
      <w:r>
        <w:rPr>
          <w:rFonts w:hint="default" w:ascii="Calibri" w:hAnsi="Calibri" w:eastAsia="Arial" w:cs="Calibri"/>
          <w:sz w:val="21"/>
          <w:szCs w:val="21"/>
        </w:rPr>
        <w:t>ti</w:t>
      </w:r>
      <w:r>
        <w:rPr>
          <w:rFonts w:hint="default" w:ascii="Calibri" w:hAnsi="Calibri" w:cs="Calibri"/>
          <w:sz w:val="21"/>
          <w:szCs w:val="21"/>
        </w:rPr>
        <w:t>cipante para órgão ou en</w:t>
      </w:r>
      <w:r>
        <w:rPr>
          <w:rFonts w:hint="default" w:ascii="Calibri" w:hAnsi="Calibri" w:eastAsia="Arial" w:cs="Calibri"/>
          <w:sz w:val="21"/>
          <w:szCs w:val="21"/>
        </w:rPr>
        <w:t>ti</w:t>
      </w:r>
      <w:r>
        <w:rPr>
          <w:rFonts w:hint="default" w:ascii="Calibri" w:hAnsi="Calibri" w:cs="Calibri"/>
          <w:sz w:val="21"/>
          <w:szCs w:val="21"/>
        </w:rPr>
        <w:t>dade par</w:t>
      </w:r>
      <w:r>
        <w:rPr>
          <w:rFonts w:hint="default" w:ascii="Calibri" w:hAnsi="Calibri" w:eastAsia="Arial" w:cs="Calibri"/>
          <w:sz w:val="21"/>
          <w:szCs w:val="21"/>
        </w:rPr>
        <w:t>ti</w:t>
      </w:r>
      <w:r>
        <w:rPr>
          <w:rFonts w:hint="default" w:ascii="Calibri" w:hAnsi="Calibri" w:cs="Calibri"/>
          <w:sz w:val="21"/>
          <w:szCs w:val="21"/>
        </w:rPr>
        <w:t>cipante; ou</w:t>
      </w:r>
    </w:p>
    <w:p w14:paraId="04371314">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De órgão ou en</w:t>
      </w:r>
      <w:r>
        <w:rPr>
          <w:rFonts w:hint="default" w:ascii="Calibri" w:hAnsi="Calibri" w:eastAsia="Arial" w:cs="Calibri"/>
          <w:sz w:val="21"/>
          <w:szCs w:val="21"/>
        </w:rPr>
        <w:t>ti</w:t>
      </w:r>
      <w:r>
        <w:rPr>
          <w:rFonts w:hint="default" w:ascii="Calibri" w:hAnsi="Calibri" w:cs="Calibri"/>
          <w:sz w:val="21"/>
          <w:szCs w:val="21"/>
        </w:rPr>
        <w:t>dade par</w:t>
      </w:r>
      <w:r>
        <w:rPr>
          <w:rFonts w:hint="default" w:ascii="Calibri" w:hAnsi="Calibri" w:eastAsia="Arial" w:cs="Calibri"/>
          <w:sz w:val="21"/>
          <w:szCs w:val="21"/>
        </w:rPr>
        <w:t>ti</w:t>
      </w:r>
      <w:r>
        <w:rPr>
          <w:rFonts w:hint="default" w:ascii="Calibri" w:hAnsi="Calibri" w:cs="Calibri"/>
          <w:sz w:val="21"/>
          <w:szCs w:val="21"/>
        </w:rPr>
        <w:t>cipante para órgão ou entidade não participante.</w:t>
      </w:r>
    </w:p>
    <w:p w14:paraId="48B70D17">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O órgão gerenciador que tiver es</w:t>
      </w:r>
      <w:r>
        <w:rPr>
          <w:rFonts w:hint="default" w:ascii="Calibri" w:hAnsi="Calibri" w:eastAsia="Arial" w:cs="Calibri"/>
          <w:sz w:val="21"/>
          <w:szCs w:val="21"/>
        </w:rPr>
        <w:t>ti</w:t>
      </w:r>
      <w:r>
        <w:rPr>
          <w:rFonts w:hint="default" w:ascii="Calibri" w:hAnsi="Calibri" w:cs="Calibri"/>
          <w:sz w:val="21"/>
          <w:szCs w:val="21"/>
        </w:rPr>
        <w:t>mado as quan</w:t>
      </w:r>
      <w:r>
        <w:rPr>
          <w:rFonts w:hint="default" w:ascii="Calibri" w:hAnsi="Calibri" w:eastAsia="Arial" w:cs="Calibri"/>
          <w:sz w:val="21"/>
          <w:szCs w:val="21"/>
        </w:rPr>
        <w:t>ti</w:t>
      </w:r>
      <w:r>
        <w:rPr>
          <w:rFonts w:hint="default" w:ascii="Calibri" w:hAnsi="Calibri" w:cs="Calibri"/>
          <w:sz w:val="21"/>
          <w:szCs w:val="21"/>
        </w:rPr>
        <w:t>dades que pretende contratar será considerado participante para efeito do remanejamento.</w:t>
      </w:r>
      <w:bookmarkStart w:id="54" w:name="gerenciador_estimador_é_partic_em_remane"/>
      <w:bookmarkEnd w:id="54"/>
    </w:p>
    <w:p w14:paraId="5A821010">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Na hipótese de remanejamento de órgão ou entidade par</w:t>
      </w:r>
      <w:r>
        <w:rPr>
          <w:rFonts w:hint="default" w:ascii="Calibri" w:hAnsi="Calibri" w:eastAsia="Arial" w:cs="Calibri"/>
          <w:sz w:val="21"/>
          <w:szCs w:val="21"/>
        </w:rPr>
        <w:t>ti</w:t>
      </w:r>
      <w:r>
        <w:rPr>
          <w:rFonts w:hint="default" w:ascii="Calibri" w:hAnsi="Calibri" w:cs="Calibri"/>
          <w:sz w:val="21"/>
          <w:szCs w:val="21"/>
        </w:rPr>
        <w:t>cipante para órgão ou entidade não participante, serão observados os limites previstos no</w:t>
      </w:r>
      <w:r>
        <w:rPr>
          <w:rFonts w:hint="default" w:ascii="Calibri" w:hAnsi="Calibri" w:cs="Calibri"/>
          <w:sz w:val="21"/>
          <w:szCs w:val="21"/>
          <w:lang w:val="pt-BR"/>
        </w:rPr>
        <w:t>s itens 4.6 e 4.7</w:t>
      </w:r>
      <w:r>
        <w:rPr>
          <w:rFonts w:hint="default" w:ascii="Calibri" w:hAnsi="Calibri" w:cs="Calibri"/>
          <w:sz w:val="21"/>
          <w:szCs w:val="21"/>
        </w:rPr>
        <w:t>.</w:t>
      </w:r>
    </w:p>
    <w:p w14:paraId="7CF18E26">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Competirá ao órgão gerenciador autorizar o remanejamento solicitado, com a redução do quan</w:t>
      </w:r>
      <w:r>
        <w:rPr>
          <w:rFonts w:hint="default" w:ascii="Calibri" w:hAnsi="Calibri" w:eastAsia="Arial" w:cs="Calibri"/>
          <w:sz w:val="21"/>
          <w:szCs w:val="21"/>
        </w:rPr>
        <w:t>ti</w:t>
      </w:r>
      <w:r>
        <w:rPr>
          <w:rFonts w:hint="default" w:ascii="Calibri" w:hAnsi="Calibri" w:cs="Calibri"/>
          <w:sz w:val="21"/>
          <w:szCs w:val="21"/>
        </w:rPr>
        <w:t>ta</w:t>
      </w:r>
      <w:r>
        <w:rPr>
          <w:rFonts w:hint="default" w:ascii="Calibri" w:hAnsi="Calibri" w:eastAsia="Arial" w:cs="Calibri"/>
          <w:sz w:val="21"/>
          <w:szCs w:val="21"/>
        </w:rPr>
        <w:t>ti</w:t>
      </w:r>
      <w:r>
        <w:rPr>
          <w:rFonts w:hint="default" w:ascii="Calibri" w:hAnsi="Calibri" w:cs="Calibri"/>
          <w:sz w:val="21"/>
          <w:szCs w:val="21"/>
        </w:rPr>
        <w:t>vo inicialmente informado pelo órgão ou pela en</w:t>
      </w:r>
      <w:r>
        <w:rPr>
          <w:rFonts w:hint="default" w:ascii="Calibri" w:hAnsi="Calibri" w:eastAsia="Arial" w:cs="Calibri"/>
          <w:sz w:val="21"/>
          <w:szCs w:val="21"/>
        </w:rPr>
        <w:t>ti</w:t>
      </w:r>
      <w:r>
        <w:rPr>
          <w:rFonts w:hint="default" w:ascii="Calibri" w:hAnsi="Calibri" w:cs="Calibri"/>
          <w:sz w:val="21"/>
          <w:szCs w:val="21"/>
        </w:rPr>
        <w:t>dade par</w:t>
      </w:r>
      <w:r>
        <w:rPr>
          <w:rFonts w:hint="default" w:ascii="Calibri" w:hAnsi="Calibri" w:eastAsia="Arial" w:cs="Calibri"/>
          <w:sz w:val="21"/>
          <w:szCs w:val="21"/>
        </w:rPr>
        <w:t>ti</w:t>
      </w:r>
      <w:r>
        <w:rPr>
          <w:rFonts w:hint="default" w:ascii="Calibri" w:hAnsi="Calibri" w:cs="Calibri"/>
          <w:sz w:val="21"/>
          <w:szCs w:val="21"/>
        </w:rPr>
        <w:t>cipante, desde que haja prévia anuência do órgão ou da en</w:t>
      </w:r>
      <w:r>
        <w:rPr>
          <w:rFonts w:hint="default" w:ascii="Calibri" w:hAnsi="Calibri" w:eastAsia="Arial" w:cs="Calibri"/>
          <w:sz w:val="21"/>
          <w:szCs w:val="21"/>
        </w:rPr>
        <w:t>ti</w:t>
      </w:r>
      <w:r>
        <w:rPr>
          <w:rFonts w:hint="default" w:ascii="Calibri" w:hAnsi="Calibri" w:cs="Calibri"/>
          <w:sz w:val="21"/>
          <w:szCs w:val="21"/>
        </w:rPr>
        <w:t>dade que sofrer redução dos quantitativos informados.</w:t>
      </w:r>
    </w:p>
    <w:p w14:paraId="0937C9B5">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Caso o remanejamento seja feito entre órgãos ou en</w:t>
      </w:r>
      <w:r>
        <w:rPr>
          <w:rFonts w:hint="default" w:ascii="Calibri" w:hAnsi="Calibri" w:eastAsia="Arial" w:cs="Calibri"/>
          <w:sz w:val="21"/>
          <w:szCs w:val="21"/>
        </w:rPr>
        <w:t>ti</w:t>
      </w:r>
      <w:r>
        <w:rPr>
          <w:rFonts w:hint="default" w:ascii="Calibri" w:hAnsi="Calibri" w:cs="Calibri"/>
          <w:sz w:val="21"/>
          <w:szCs w:val="21"/>
        </w:rPr>
        <w:t>dades dos Estados, do Distrito Federal ou de Municípios dis</w:t>
      </w:r>
      <w:r>
        <w:rPr>
          <w:rFonts w:hint="default" w:ascii="Calibri" w:hAnsi="Calibri" w:eastAsia="Arial" w:cs="Calibri"/>
          <w:sz w:val="21"/>
          <w:szCs w:val="21"/>
        </w:rPr>
        <w:t>ti</w:t>
      </w:r>
      <w:r>
        <w:rPr>
          <w:rFonts w:hint="default" w:ascii="Calibri" w:hAnsi="Calibri" w:cs="Calibri"/>
          <w:sz w:val="21"/>
          <w:szCs w:val="21"/>
        </w:rPr>
        <w:t>ntos, caberá ao fornecedor beneficiário da ata de registro de preços, observadas as condições nela estabelecidas, optar pela aceitação ou não do fornecimento decorrente do remanejamento dos itens.</w:t>
      </w:r>
    </w:p>
    <w:p w14:paraId="67C166F6">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Na hipótese da compra centralizada, não havendo indicação pelo órgão gerenciador, dos quan</w:t>
      </w:r>
      <w:r>
        <w:rPr>
          <w:rFonts w:hint="default" w:ascii="Calibri" w:hAnsi="Calibri" w:eastAsia="Arial" w:cs="Calibri"/>
          <w:sz w:val="21"/>
          <w:szCs w:val="21"/>
        </w:rPr>
        <w:t>ti</w:t>
      </w:r>
      <w:r>
        <w:rPr>
          <w:rFonts w:hint="default" w:ascii="Calibri" w:hAnsi="Calibri" w:cs="Calibri"/>
          <w:sz w:val="21"/>
          <w:szCs w:val="21"/>
        </w:rPr>
        <w:t>ta</w:t>
      </w:r>
      <w:r>
        <w:rPr>
          <w:rFonts w:hint="default" w:ascii="Calibri" w:hAnsi="Calibri" w:eastAsia="Arial" w:cs="Calibri"/>
          <w:sz w:val="21"/>
          <w:szCs w:val="21"/>
        </w:rPr>
        <w:t>ti</w:t>
      </w:r>
      <w:r>
        <w:rPr>
          <w:rFonts w:hint="default" w:ascii="Calibri" w:hAnsi="Calibri" w:cs="Calibri"/>
          <w:sz w:val="21"/>
          <w:szCs w:val="21"/>
        </w:rPr>
        <w:t>vos dos par</w:t>
      </w:r>
      <w:r>
        <w:rPr>
          <w:rFonts w:hint="default" w:ascii="Calibri" w:hAnsi="Calibri" w:eastAsia="Arial" w:cs="Calibri"/>
          <w:sz w:val="21"/>
          <w:szCs w:val="21"/>
        </w:rPr>
        <w:t>ti</w:t>
      </w:r>
      <w:r>
        <w:rPr>
          <w:rFonts w:hint="default" w:ascii="Calibri" w:hAnsi="Calibri" w:cs="Calibri"/>
          <w:sz w:val="21"/>
          <w:szCs w:val="21"/>
        </w:rPr>
        <w:t xml:space="preserve">cipantes da compra centralizada, nos termos do item </w:t>
      </w:r>
      <w:r>
        <w:rPr>
          <w:rFonts w:hint="default" w:ascii="Calibri" w:hAnsi="Calibri" w:cs="Calibri"/>
          <w:sz w:val="21"/>
          <w:szCs w:val="21"/>
        </w:rPr>
        <w:fldChar w:fldCharType="begin"/>
      </w:r>
      <w:r>
        <w:rPr>
          <w:rFonts w:hint="default" w:ascii="Calibri" w:hAnsi="Calibri" w:cs="Calibri"/>
          <w:sz w:val="21"/>
          <w:szCs w:val="21"/>
        </w:rPr>
        <w:instrText xml:space="preserve"> REF gerenciador_estimador_é_partic_em_remane \r \h  \* MERGEFORMAT </w:instrText>
      </w:r>
      <w:r>
        <w:rPr>
          <w:rFonts w:hint="default" w:ascii="Calibri" w:hAnsi="Calibri" w:cs="Calibri"/>
          <w:sz w:val="21"/>
          <w:szCs w:val="21"/>
        </w:rPr>
        <w:fldChar w:fldCharType="separate"/>
      </w:r>
      <w:r>
        <w:rPr>
          <w:rFonts w:hint="default" w:ascii="Calibri" w:hAnsi="Calibri" w:cs="Calibri"/>
          <w:sz w:val="21"/>
          <w:szCs w:val="21"/>
        </w:rPr>
        <w:t>8.3</w:t>
      </w:r>
      <w:r>
        <w:rPr>
          <w:rFonts w:hint="default" w:ascii="Calibri" w:hAnsi="Calibri" w:cs="Calibri"/>
          <w:sz w:val="21"/>
          <w:szCs w:val="21"/>
        </w:rPr>
        <w:fldChar w:fldCharType="end"/>
      </w:r>
      <w:r>
        <w:rPr>
          <w:rFonts w:hint="default" w:ascii="Calibri" w:hAnsi="Calibri" w:cs="Calibri"/>
          <w:sz w:val="21"/>
          <w:szCs w:val="21"/>
        </w:rPr>
        <w:t>, a distribuição das quantidades para a execução descentralizada será por meio do remanejamento.</w:t>
      </w:r>
    </w:p>
    <w:p w14:paraId="61498C02">
      <w:pPr>
        <w:pStyle w:val="41"/>
        <w:numPr>
          <w:ilvl w:val="0"/>
          <w:numId w:val="11"/>
        </w:numPr>
        <w:tabs>
          <w:tab w:val="left" w:pos="480"/>
        </w:tabs>
        <w:ind w:left="0" w:leftChars="0" w:firstLine="0" w:firstLineChars="0"/>
        <w:rPr>
          <w:rFonts w:hint="default" w:ascii="Calibri" w:hAnsi="Calibri" w:cs="Calibri"/>
          <w:iCs/>
          <w:sz w:val="21"/>
          <w:szCs w:val="21"/>
        </w:rPr>
      </w:pPr>
      <w:r>
        <w:rPr>
          <w:rFonts w:hint="default" w:ascii="Calibri" w:hAnsi="Calibri" w:cs="Calibri"/>
          <w:sz w:val="21"/>
          <w:szCs w:val="21"/>
        </w:rPr>
        <w:t>CANCELAMENTO DO REGISTRO DO LICITANTE VENCEDOR E DOS PREÇOS REGISTRADOS</w:t>
      </w:r>
      <w:bookmarkStart w:id="55" w:name="cancelamento"/>
      <w:bookmarkEnd w:id="55"/>
    </w:p>
    <w:p w14:paraId="160395C3">
      <w:pPr>
        <w:rPr>
          <w:rFonts w:hint="default"/>
        </w:rPr>
      </w:pPr>
    </w:p>
    <w:p w14:paraId="03A33D0C">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O registro do fornecedor será cancelado pelo gerenciador, quando o fornecedor:</w:t>
      </w:r>
      <w:bookmarkStart w:id="56" w:name="cancelamento_do_fornecedor"/>
      <w:bookmarkEnd w:id="56"/>
    </w:p>
    <w:p w14:paraId="1BD89984">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Descumprir as condições da ata de registro de preços, sem motivo justificado;</w:t>
      </w:r>
    </w:p>
    <w:p w14:paraId="2A91DECF">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Não re</w:t>
      </w:r>
      <w:r>
        <w:rPr>
          <w:rFonts w:hint="default" w:ascii="Calibri" w:hAnsi="Calibri" w:eastAsia="Arial" w:cs="Calibri"/>
          <w:sz w:val="21"/>
          <w:szCs w:val="21"/>
        </w:rPr>
        <w:t>ti</w:t>
      </w:r>
      <w:r>
        <w:rPr>
          <w:rFonts w:hint="default" w:ascii="Calibri" w:hAnsi="Calibri" w:cs="Calibri"/>
          <w:sz w:val="21"/>
          <w:szCs w:val="21"/>
        </w:rPr>
        <w:t>rar a nota de empenho, ou instrumento equivalente, no prazo estabelecido pela Administração sem justificativa razoável;</w:t>
      </w:r>
    </w:p>
    <w:p w14:paraId="31CC84F2">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Não aceitar manter seu preço registrado, na hipótese prevista no </w:t>
      </w:r>
      <w:r>
        <w:rPr>
          <w:rFonts w:hint="default" w:ascii="Calibri" w:hAnsi="Calibri" w:cs="Calibri"/>
          <w:sz w:val="21"/>
          <w:szCs w:val="21"/>
          <w:lang w:val="pt-BR"/>
        </w:rPr>
        <w:t>item 7.2.2</w:t>
      </w:r>
      <w:r>
        <w:rPr>
          <w:rFonts w:hint="default" w:ascii="Calibri" w:hAnsi="Calibri" w:cs="Calibri"/>
          <w:sz w:val="21"/>
          <w:szCs w:val="21"/>
        </w:rPr>
        <w:t>; ou</w:t>
      </w:r>
    </w:p>
    <w:p w14:paraId="19A155A5">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line="240" w:lineRule="auto"/>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 Sofrer sanção prevista nos incisos III ou IV do caput do art. 156 da Lei nº 14.133, de 2021.</w:t>
      </w:r>
    </w:p>
    <w:p w14:paraId="4A9C3557">
      <w:pPr>
        <w:pStyle w:val="138"/>
        <w:keepNext w:val="0"/>
        <w:keepLines w:val="0"/>
        <w:pageBreakBefore w:val="0"/>
        <w:widowControl/>
        <w:numPr>
          <w:ilvl w:val="3"/>
          <w:numId w:val="11"/>
        </w:numPr>
        <w:kinsoku/>
        <w:wordWrap/>
        <w:overflowPunct/>
        <w:topLinePunct w:val="0"/>
        <w:autoSpaceDE/>
        <w:autoSpaceDN/>
        <w:bidi w:val="0"/>
        <w:adjustRightInd/>
        <w:snapToGrid/>
        <w:spacing w:before="0" w:after="0" w:line="240" w:lineRule="auto"/>
        <w:ind w:left="2053" w:leftChars="0" w:hanging="853" w:firstLineChars="0"/>
        <w:textAlignment w:val="auto"/>
        <w:rPr>
          <w:rFonts w:hint="default" w:ascii="Calibri" w:hAnsi="Calibri" w:cs="Calibri"/>
          <w:sz w:val="21"/>
          <w:szCs w:val="21"/>
        </w:rPr>
      </w:pPr>
      <w:r>
        <w:rPr>
          <w:rFonts w:hint="default" w:ascii="Calibri" w:hAnsi="Calibri" w:cs="Calibri"/>
          <w:sz w:val="21"/>
          <w:szCs w:val="21"/>
        </w:rPr>
        <w:t>Na hipótese de aplicação de sanção prevista nos incisos III ou IV do caput do art. 156 da Lei nº 14.133, de 2021, caso a penalidade aplicada ao fornecedor não ultrapasse o prazo de vigência da ata de registro de preços, poderá o órgão gerenciador, mediante decisão fundamentada, decidir pela manutenção do registro de preços, vedadas contratações derivadas da ata enquanto perdurarem os efeitos da sanção.</w:t>
      </w:r>
    </w:p>
    <w:p w14:paraId="687E3DC4">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 xml:space="preserve"> O cancelamento de registros nas hipóteses previstas no item </w:t>
      </w:r>
      <w:r>
        <w:rPr>
          <w:rFonts w:hint="default" w:ascii="Calibri" w:hAnsi="Calibri" w:cs="Calibri"/>
          <w:sz w:val="21"/>
          <w:szCs w:val="21"/>
        </w:rPr>
        <w:fldChar w:fldCharType="begin"/>
      </w:r>
      <w:r>
        <w:rPr>
          <w:rFonts w:hint="default" w:ascii="Calibri" w:hAnsi="Calibri" w:cs="Calibri"/>
          <w:sz w:val="21"/>
          <w:szCs w:val="21"/>
        </w:rPr>
        <w:instrText xml:space="preserve"> REF cancelamento_do_fornecedor \r \h  \* MERGEFORMAT </w:instrText>
      </w:r>
      <w:r>
        <w:rPr>
          <w:rFonts w:hint="default" w:ascii="Calibri" w:hAnsi="Calibri" w:cs="Calibri"/>
          <w:sz w:val="21"/>
          <w:szCs w:val="21"/>
        </w:rPr>
        <w:fldChar w:fldCharType="separate"/>
      </w:r>
      <w:r>
        <w:rPr>
          <w:rFonts w:hint="default" w:ascii="Calibri" w:hAnsi="Calibri" w:cs="Calibri"/>
          <w:sz w:val="21"/>
          <w:szCs w:val="21"/>
        </w:rPr>
        <w:t>9.1</w:t>
      </w:r>
      <w:r>
        <w:rPr>
          <w:rFonts w:hint="default" w:ascii="Calibri" w:hAnsi="Calibri" w:cs="Calibri"/>
          <w:sz w:val="21"/>
          <w:szCs w:val="21"/>
        </w:rPr>
        <w:fldChar w:fldCharType="end"/>
      </w:r>
      <w:r>
        <w:rPr>
          <w:rFonts w:hint="default" w:ascii="Calibri" w:hAnsi="Calibri" w:cs="Calibri"/>
          <w:sz w:val="21"/>
          <w:szCs w:val="21"/>
        </w:rPr>
        <w:t xml:space="preserve"> será formalizado por despacho do órgão gerenciador, garantidos os princípios do contraditório e da ampla defesa.</w:t>
      </w:r>
    </w:p>
    <w:p w14:paraId="163B3A2E">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Na hipótese de cancelamento do registro do fornecedor, o órgão gerenciador poderá convocar os licitantes que compõem o cadastro de reserva, observada a ordem de classificação.</w:t>
      </w:r>
    </w:p>
    <w:p w14:paraId="3696F26A">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O cancelamento dos preços registrados poderá ser realizado pelo gerenciador, total ou parcialmente, nas seguintes hipóteses, desde que devidamente comprovadas e justificadas:</w:t>
      </w:r>
      <w:bookmarkStart w:id="57" w:name="cancelamento_da_ata"/>
      <w:bookmarkEnd w:id="57"/>
      <w:r>
        <w:rPr>
          <w:rFonts w:hint="default" w:ascii="Calibri" w:hAnsi="Calibri" w:cs="Calibri"/>
          <w:sz w:val="21"/>
          <w:szCs w:val="21"/>
        </w:rPr>
        <w:t xml:space="preserve"> </w:t>
      </w:r>
    </w:p>
    <w:p w14:paraId="5A9A06F5">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ind w:left="1508" w:leftChars="0" w:hanging="708" w:firstLineChars="0"/>
        <w:textAlignment w:val="auto"/>
        <w:rPr>
          <w:rFonts w:hint="default" w:ascii="Calibri" w:hAnsi="Calibri" w:cs="Calibri"/>
          <w:sz w:val="21"/>
          <w:szCs w:val="21"/>
        </w:rPr>
      </w:pPr>
      <w:r>
        <w:rPr>
          <w:rFonts w:hint="default" w:ascii="Calibri" w:hAnsi="Calibri" w:cs="Calibri"/>
          <w:sz w:val="21"/>
          <w:szCs w:val="21"/>
        </w:rPr>
        <w:t>Por razão de interesse público;</w:t>
      </w:r>
    </w:p>
    <w:p w14:paraId="23393C95">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ind w:left="1508" w:leftChars="0" w:hanging="708" w:firstLineChars="0"/>
        <w:textAlignment w:val="auto"/>
        <w:rPr>
          <w:rFonts w:hint="default" w:ascii="Calibri" w:hAnsi="Calibri" w:cs="Calibri"/>
          <w:sz w:val="21"/>
          <w:szCs w:val="21"/>
        </w:rPr>
      </w:pPr>
      <w:r>
        <w:rPr>
          <w:rFonts w:hint="default" w:ascii="Calibri" w:hAnsi="Calibri" w:cs="Calibri"/>
          <w:sz w:val="21"/>
          <w:szCs w:val="21"/>
        </w:rPr>
        <w:t>A pedido do fornecedor, decorrente de caso fortuito ou força maior; ou</w:t>
      </w:r>
    </w:p>
    <w:p w14:paraId="17FBAF5F">
      <w:pPr>
        <w:pStyle w:val="137"/>
        <w:keepNext w:val="0"/>
        <w:keepLines w:val="0"/>
        <w:pageBreakBefore w:val="0"/>
        <w:widowControl/>
        <w:numPr>
          <w:ilvl w:val="2"/>
          <w:numId w:val="11"/>
        </w:numPr>
        <w:tabs>
          <w:tab w:val="left" w:pos="1200"/>
        </w:tabs>
        <w:kinsoku/>
        <w:wordWrap/>
        <w:overflowPunct/>
        <w:topLinePunct w:val="0"/>
        <w:autoSpaceDE/>
        <w:autoSpaceDN/>
        <w:bidi w:val="0"/>
        <w:adjustRightInd/>
        <w:snapToGrid/>
        <w:spacing w:before="0" w:after="0"/>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Se não houver êxito nas negociações, nas hipóteses em que o preço de mercado tornar-se superior ou inferior ao preço registrado, nos termos do </w:t>
      </w:r>
      <w:r>
        <w:rPr>
          <w:rFonts w:hint="default" w:ascii="Calibri" w:hAnsi="Calibri" w:cs="Calibri"/>
          <w:sz w:val="21"/>
          <w:szCs w:val="21"/>
          <w:lang w:val="pt-BR"/>
        </w:rPr>
        <w:t>item 7.2.2  e 7.2.4</w:t>
      </w:r>
      <w:r>
        <w:rPr>
          <w:rFonts w:hint="default" w:ascii="Calibri" w:hAnsi="Calibri" w:cs="Calibri"/>
          <w:sz w:val="21"/>
          <w:szCs w:val="21"/>
        </w:rPr>
        <w:t xml:space="preserve">. </w:t>
      </w:r>
    </w:p>
    <w:p w14:paraId="420611E2">
      <w:pPr>
        <w:pStyle w:val="41"/>
        <w:numPr>
          <w:ilvl w:val="0"/>
          <w:numId w:val="11"/>
        </w:numPr>
        <w:ind w:left="0" w:leftChars="0" w:firstLine="0" w:firstLineChars="0"/>
        <w:rPr>
          <w:rFonts w:hint="default" w:ascii="Calibri" w:hAnsi="Calibri" w:cs="Calibri"/>
          <w:sz w:val="21"/>
          <w:szCs w:val="21"/>
        </w:rPr>
      </w:pPr>
      <w:r>
        <w:rPr>
          <w:rFonts w:hint="default" w:ascii="Calibri" w:hAnsi="Calibri" w:cs="Calibri"/>
          <w:sz w:val="21"/>
          <w:szCs w:val="21"/>
        </w:rPr>
        <w:t>DAS PENALIDADES</w:t>
      </w:r>
    </w:p>
    <w:p w14:paraId="2441BA8D">
      <w:pPr>
        <w:rPr>
          <w:rFonts w:hint="default"/>
        </w:rPr>
      </w:pPr>
    </w:p>
    <w:p w14:paraId="7DF74F60">
      <w:pPr>
        <w:pStyle w:val="58"/>
        <w:keepNext w:val="0"/>
        <w:keepLines w:val="0"/>
        <w:pageBreakBefore w:val="0"/>
        <w:widowControl/>
        <w:numPr>
          <w:ilvl w:val="1"/>
          <w:numId w:val="11"/>
        </w:numPr>
        <w:tabs>
          <w:tab w:val="left" w:pos="480"/>
        </w:tabs>
        <w:kinsoku/>
        <w:wordWrap/>
        <w:overflowPunct/>
        <w:topLinePunct w:val="0"/>
        <w:autoSpaceDE/>
        <w:autoSpaceDN/>
        <w:bidi w:val="0"/>
        <w:adjustRightInd/>
        <w:snapToGrid/>
        <w:spacing w:before="0" w:after="0"/>
        <w:ind w:left="0" w:leftChars="0" w:firstLine="0" w:firstLineChars="0"/>
        <w:textAlignment w:val="auto"/>
        <w:rPr>
          <w:rFonts w:hint="default" w:ascii="Calibri" w:hAnsi="Calibri" w:cs="Calibri"/>
          <w:b/>
          <w:bCs/>
          <w:i w:val="0"/>
          <w:iCs/>
          <w:color w:val="auto"/>
          <w:sz w:val="21"/>
          <w:szCs w:val="21"/>
        </w:rPr>
      </w:pPr>
      <w:r>
        <w:rPr>
          <w:rFonts w:hint="default" w:ascii="Calibri" w:hAnsi="Calibri" w:cs="Calibri"/>
          <w:sz w:val="21"/>
          <w:szCs w:val="21"/>
        </w:rPr>
        <w:t xml:space="preserve">O descumprimento da Ata de Registro de Preços ensejará aplicação das penalidades estabelecidas </w:t>
      </w:r>
      <w:r>
        <w:rPr>
          <w:rFonts w:hint="default" w:ascii="Calibri" w:hAnsi="Calibri" w:cs="Calibri"/>
          <w:b w:val="0"/>
          <w:bCs w:val="0"/>
          <w:i w:val="0"/>
          <w:iCs/>
          <w:color w:val="auto"/>
          <w:sz w:val="21"/>
          <w:szCs w:val="21"/>
        </w:rPr>
        <w:t>no</w:t>
      </w:r>
      <w:r>
        <w:rPr>
          <w:rFonts w:hint="default" w:ascii="Calibri" w:hAnsi="Calibri" w:cs="Calibri"/>
          <w:b w:val="0"/>
          <w:bCs w:val="0"/>
          <w:i w:val="0"/>
          <w:iCs/>
          <w:color w:val="auto"/>
          <w:sz w:val="21"/>
          <w:szCs w:val="21"/>
          <w:lang w:val="pt-BR"/>
        </w:rPr>
        <w:t xml:space="preserve"> </w:t>
      </w:r>
      <w:r>
        <w:rPr>
          <w:rFonts w:hint="default" w:ascii="Calibri" w:hAnsi="Calibri" w:cs="Calibri"/>
          <w:b/>
          <w:bCs/>
          <w:i w:val="0"/>
          <w:iCs/>
          <w:color w:val="auto"/>
          <w:sz w:val="21"/>
          <w:szCs w:val="21"/>
          <w:lang w:val="pt-BR"/>
        </w:rPr>
        <w:t>PREGÃO ELETRÔNICO Nº 005/2025</w:t>
      </w:r>
    </w:p>
    <w:p w14:paraId="3BDB0600">
      <w:pPr>
        <w:pStyle w:val="137"/>
        <w:keepNext w:val="0"/>
        <w:keepLines w:val="0"/>
        <w:pageBreakBefore w:val="0"/>
        <w:widowControl/>
        <w:numPr>
          <w:ilvl w:val="2"/>
          <w:numId w:val="11"/>
        </w:numPr>
        <w:tabs>
          <w:tab w:val="left" w:pos="480"/>
          <w:tab w:val="left" w:pos="1200"/>
        </w:tabs>
        <w:kinsoku/>
        <w:wordWrap/>
        <w:overflowPunct/>
        <w:topLinePunct w:val="0"/>
        <w:autoSpaceDE/>
        <w:autoSpaceDN/>
        <w:bidi w:val="0"/>
        <w:adjustRightInd/>
        <w:snapToGrid/>
        <w:spacing w:before="0" w:after="0"/>
        <w:ind w:left="1508" w:leftChars="0" w:hanging="708" w:firstLineChars="0"/>
        <w:textAlignment w:val="auto"/>
        <w:rPr>
          <w:rFonts w:hint="default" w:ascii="Calibri" w:hAnsi="Calibri" w:cs="Calibri"/>
          <w:sz w:val="21"/>
          <w:szCs w:val="21"/>
        </w:rPr>
      </w:pPr>
      <w:r>
        <w:rPr>
          <w:rFonts w:hint="default" w:ascii="Calibri" w:hAnsi="Calibri" w:cs="Calibri"/>
          <w:sz w:val="21"/>
          <w:szCs w:val="21"/>
        </w:rPr>
        <w:t xml:space="preserve">As sanções também se aplicam aos integrantes do cadastro de reserva no registro de preços que, convocados, não honrarem o compromisso assumido injustificadamente após terem assinado a ata. </w:t>
      </w:r>
    </w:p>
    <w:p w14:paraId="6D7BE293">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É da competência do gerenciador a aplicação das penalidades decorrentes do descumprimento do pactuado nesta ata de registro de preço, exceto nas hipóteses em que o descumprimento disser respeito às contratações dos órgãos ou entidade participante, caso no qual caberá ao respectivo órgão participante a aplicação da penalidade.</w:t>
      </w:r>
    </w:p>
    <w:p w14:paraId="19C8A48C">
      <w:pPr>
        <w:pStyle w:val="58"/>
        <w:numPr>
          <w:ilvl w:val="1"/>
          <w:numId w:val="11"/>
        </w:numPr>
        <w:tabs>
          <w:tab w:val="left" w:pos="480"/>
        </w:tabs>
        <w:ind w:left="0" w:leftChars="0" w:firstLine="0" w:firstLineChars="0"/>
        <w:rPr>
          <w:rFonts w:hint="default" w:ascii="Calibri" w:hAnsi="Calibri" w:cs="Calibri"/>
          <w:sz w:val="21"/>
          <w:szCs w:val="21"/>
        </w:rPr>
      </w:pPr>
      <w:r>
        <w:rPr>
          <w:rFonts w:hint="default" w:ascii="Calibri" w:hAnsi="Calibri" w:cs="Calibri"/>
          <w:sz w:val="21"/>
          <w:szCs w:val="21"/>
        </w:rPr>
        <w:t>O órgão ou entidade participante deverá comunicar ao órgão gerenciador qualquer das ocorrências previstas no item 9.1, dada a necessidade de instauração de procedimento para cancelamento do registro do fornecedor.</w:t>
      </w:r>
    </w:p>
    <w:p w14:paraId="5385D97D">
      <w:pPr>
        <w:pStyle w:val="41"/>
        <w:numPr>
          <w:ilvl w:val="0"/>
          <w:numId w:val="11"/>
        </w:numPr>
        <w:ind w:left="0" w:leftChars="0" w:firstLine="0" w:firstLineChars="0"/>
        <w:rPr>
          <w:rFonts w:hint="default" w:ascii="Calibri" w:hAnsi="Calibri" w:cs="Calibri"/>
          <w:sz w:val="21"/>
          <w:szCs w:val="21"/>
        </w:rPr>
      </w:pPr>
      <w:r>
        <w:rPr>
          <w:rFonts w:hint="default" w:ascii="Calibri" w:hAnsi="Calibri" w:cs="Calibri"/>
          <w:sz w:val="21"/>
          <w:szCs w:val="21"/>
        </w:rPr>
        <w:t>CONDIÇÕES GERAIS</w:t>
      </w:r>
    </w:p>
    <w:p w14:paraId="495B4270">
      <w:pPr>
        <w:rPr>
          <w:rFonts w:hint="default"/>
        </w:rPr>
      </w:pPr>
    </w:p>
    <w:p w14:paraId="029E93CE">
      <w:pPr>
        <w:pStyle w:val="58"/>
        <w:keepNext w:val="0"/>
        <w:keepLines w:val="0"/>
        <w:pageBreakBefore w:val="0"/>
        <w:widowControl/>
        <w:numPr>
          <w:ilvl w:val="1"/>
          <w:numId w:val="11"/>
        </w:numPr>
        <w:tabs>
          <w:tab w:val="left" w:pos="480"/>
        </w:tabs>
        <w:kinsoku/>
        <w:wordWrap/>
        <w:overflowPunct/>
        <w:topLinePunct w:val="0"/>
        <w:autoSpaceDE/>
        <w:autoSpaceDN/>
        <w:bidi w:val="0"/>
        <w:adjustRightInd/>
        <w:snapToGrid/>
        <w:spacing w:before="0" w:after="0"/>
        <w:ind w:left="0" w:leftChars="0" w:firstLine="0" w:firstLineChars="0"/>
        <w:textAlignment w:val="auto"/>
        <w:rPr>
          <w:rFonts w:hint="default" w:ascii="Calibri" w:hAnsi="Calibri" w:cs="Calibri"/>
          <w:b/>
          <w:bCs/>
          <w:i w:val="0"/>
          <w:iCs/>
          <w:color w:val="auto"/>
          <w:sz w:val="21"/>
          <w:szCs w:val="21"/>
          <w:lang w:val="en-US"/>
        </w:rPr>
      </w:pPr>
      <w:r>
        <w:rPr>
          <w:rFonts w:hint="default" w:ascii="Calibri" w:hAnsi="Calibri" w:cs="Calibri"/>
          <w:sz w:val="21"/>
          <w:szCs w:val="21"/>
        </w:rPr>
        <w:t xml:space="preserve">As condições gerais de execução do objeto, tais como os prazos para entrega e recebimento, as obrigações da Administração e do fornecedor registrado, penalidades e demais condições do ajuste, encontram-se definidos no Termo de Referência, ANEXO </w:t>
      </w:r>
      <w:r>
        <w:rPr>
          <w:rFonts w:hint="default" w:ascii="Calibri" w:hAnsi="Calibri" w:cs="Calibri"/>
          <w:i w:val="0"/>
          <w:iCs/>
          <w:color w:val="auto"/>
          <w:sz w:val="21"/>
          <w:szCs w:val="21"/>
        </w:rPr>
        <w:t>AO EDITAL</w:t>
      </w:r>
      <w:r>
        <w:rPr>
          <w:rFonts w:hint="default" w:ascii="Calibri" w:hAnsi="Calibri" w:cs="Calibri"/>
          <w:i w:val="0"/>
          <w:iCs/>
          <w:color w:val="auto"/>
          <w:sz w:val="21"/>
          <w:szCs w:val="21"/>
          <w:lang w:val="pt-BR"/>
        </w:rPr>
        <w:t xml:space="preserve"> DO</w:t>
      </w:r>
      <w:r>
        <w:rPr>
          <w:rFonts w:hint="default" w:ascii="Calibri" w:hAnsi="Calibri" w:cs="Calibri"/>
          <w:i/>
          <w:color w:val="FF0000"/>
          <w:sz w:val="21"/>
          <w:szCs w:val="21"/>
          <w:lang w:val="pt-BR"/>
        </w:rPr>
        <w:t xml:space="preserve"> </w:t>
      </w:r>
      <w:r>
        <w:rPr>
          <w:rFonts w:hint="default" w:ascii="Calibri" w:hAnsi="Calibri" w:cs="Calibri"/>
          <w:b/>
          <w:bCs/>
          <w:i w:val="0"/>
          <w:iCs/>
          <w:color w:val="auto"/>
          <w:sz w:val="21"/>
          <w:szCs w:val="21"/>
          <w:lang w:val="pt-BR"/>
        </w:rPr>
        <w:t>PREGÃO ELETRÔNICO Nº 005/2025</w:t>
      </w:r>
    </w:p>
    <w:p w14:paraId="1F75F5A8">
      <w:pPr>
        <w:widowControl w:val="0"/>
        <w:autoSpaceDE w:val="0"/>
        <w:autoSpaceDN w:val="0"/>
        <w:adjustRightInd w:val="0"/>
        <w:spacing w:before="120" w:after="120" w:line="276" w:lineRule="auto"/>
        <w:jc w:val="both"/>
        <w:rPr>
          <w:rFonts w:hint="default" w:ascii="Calibri" w:hAnsi="Calibri" w:cs="Calibri"/>
          <w:i/>
          <w:iCs/>
          <w:color w:val="FF0000"/>
          <w:sz w:val="21"/>
          <w:szCs w:val="21"/>
        </w:rPr>
      </w:pPr>
      <w:r>
        <w:rPr>
          <w:rFonts w:hint="default" w:ascii="Calibri" w:hAnsi="Calibri" w:cs="Calibri"/>
          <w:sz w:val="21"/>
          <w:szCs w:val="21"/>
        </w:rPr>
        <w:t>Para firmeza e validade do pactuado, a presente Ata foi lavrada</w:t>
      </w:r>
      <w:r>
        <w:rPr>
          <w:rFonts w:hint="default" w:ascii="Calibri" w:hAnsi="Calibri" w:cs="Calibri"/>
          <w:sz w:val="21"/>
          <w:szCs w:val="21"/>
          <w:lang w:val="pt-BR"/>
        </w:rPr>
        <w:t xml:space="preserve"> e</w:t>
      </w:r>
      <w:r>
        <w:rPr>
          <w:rFonts w:hint="default" w:ascii="Calibri" w:hAnsi="Calibri" w:cs="Calibri"/>
          <w:sz w:val="21"/>
          <w:szCs w:val="21"/>
        </w:rPr>
        <w:t xml:space="preserve"> assinada</w:t>
      </w:r>
      <w:r>
        <w:rPr>
          <w:rFonts w:hint="default" w:ascii="Calibri" w:hAnsi="Calibri" w:cs="Calibri"/>
          <w:sz w:val="21"/>
          <w:szCs w:val="21"/>
          <w:lang w:val="pt-BR"/>
        </w:rPr>
        <w:t xml:space="preserve"> de forma digital </w:t>
      </w:r>
      <w:r>
        <w:rPr>
          <w:rFonts w:hint="default" w:ascii="Calibri" w:hAnsi="Calibri" w:cs="Calibri"/>
          <w:sz w:val="21"/>
          <w:szCs w:val="21"/>
        </w:rPr>
        <w:t xml:space="preserve">pelas partes </w:t>
      </w:r>
    </w:p>
    <w:p w14:paraId="7708E5BA">
      <w:pPr>
        <w:widowControl w:val="0"/>
        <w:autoSpaceDE w:val="0"/>
        <w:autoSpaceDN w:val="0"/>
        <w:adjustRightInd w:val="0"/>
        <w:spacing w:line="240" w:lineRule="auto"/>
        <w:ind w:right="-30"/>
        <w:jc w:val="center"/>
        <w:rPr>
          <w:rFonts w:hint="default" w:ascii="Calibri" w:hAnsi="Calibri" w:cs="Calibri"/>
          <w:sz w:val="20"/>
          <w:szCs w:val="20"/>
        </w:rPr>
      </w:pPr>
      <w:r>
        <w:rPr>
          <w:rFonts w:hint="default" w:ascii="Calibri" w:hAnsi="Calibri" w:cs="Calibri"/>
          <w:sz w:val="20"/>
          <w:szCs w:val="20"/>
        </w:rPr>
        <w:t>Local e data</w:t>
      </w:r>
    </w:p>
    <w:p w14:paraId="6777BD7E">
      <w:pPr>
        <w:widowControl w:val="0"/>
        <w:autoSpaceDE w:val="0"/>
        <w:autoSpaceDN w:val="0"/>
        <w:adjustRightInd w:val="0"/>
        <w:spacing w:line="240" w:lineRule="auto"/>
        <w:ind w:right="-30"/>
        <w:jc w:val="center"/>
        <w:rPr>
          <w:rFonts w:hint="default" w:ascii="Calibri" w:hAnsi="Calibri" w:cs="Calibri"/>
          <w:sz w:val="20"/>
          <w:szCs w:val="20"/>
        </w:rPr>
      </w:pPr>
      <w:r>
        <w:rPr>
          <w:rFonts w:hint="default" w:ascii="Calibri" w:hAnsi="Calibri" w:cs="Calibri"/>
          <w:sz w:val="20"/>
          <w:szCs w:val="20"/>
        </w:rPr>
        <w:t>Assinaturas</w:t>
      </w:r>
    </w:p>
    <w:p w14:paraId="44DFEC2E">
      <w:pPr>
        <w:widowControl w:val="0"/>
        <w:autoSpaceDE w:val="0"/>
        <w:autoSpaceDN w:val="0"/>
        <w:adjustRightInd w:val="0"/>
        <w:spacing w:line="360" w:lineRule="auto"/>
        <w:ind w:right="-30"/>
        <w:jc w:val="center"/>
        <w:rPr>
          <w:rFonts w:hint="default" w:ascii="Arial" w:hAnsi="Arial" w:cs="Arial"/>
          <w:color w:val="000000"/>
          <w:sz w:val="20"/>
          <w:szCs w:val="20"/>
          <w:lang w:val="pt-BR"/>
        </w:rPr>
      </w:pPr>
      <w:r>
        <w:rPr>
          <w:rFonts w:hint="default" w:ascii="Calibri" w:hAnsi="Calibri" w:cs="Calibri"/>
          <w:b/>
          <w:bCs/>
          <w:sz w:val="20"/>
          <w:szCs w:val="20"/>
        </w:rPr>
        <w:t xml:space="preserve">Representante legal do órgão gerenciador e representante(s) legal(is) do(s) </w:t>
      </w:r>
      <w:r>
        <w:rPr>
          <w:rFonts w:hint="default" w:ascii="Calibri" w:hAnsi="Calibri" w:cs="Calibri"/>
          <w:b/>
          <w:bCs/>
          <w:color w:val="000000"/>
          <w:sz w:val="20"/>
          <w:szCs w:val="20"/>
        </w:rPr>
        <w:t>fornecedor(s) registrado(s)</w:t>
      </w:r>
      <w:r>
        <w:rPr>
          <w:rFonts w:hint="default" w:ascii="Arial" w:hAnsi="Arial" w:cs="Arial"/>
          <w:color w:val="000000"/>
          <w:sz w:val="20"/>
          <w:szCs w:val="20"/>
          <w:lang w:val="pt-BR"/>
        </w:rPr>
        <w:t>...</w:t>
      </w:r>
    </w:p>
    <w:p w14:paraId="3512EF00">
      <w:pPr>
        <w:rPr>
          <w:rFonts w:hint="default" w:ascii="Calibri" w:hAnsi="Calibri" w:cs="Calibri"/>
          <w:b w:val="0"/>
          <w:bCs w:val="0"/>
          <w:sz w:val="22"/>
          <w:szCs w:val="22"/>
          <w:lang w:val="pt-BR"/>
        </w:rPr>
      </w:pPr>
      <w:r>
        <w:rPr>
          <w:rFonts w:hint="default" w:ascii="Calibri" w:hAnsi="Calibri" w:cs="Calibri"/>
          <w:b w:val="0"/>
          <w:bCs w:val="0"/>
          <w:sz w:val="22"/>
          <w:szCs w:val="22"/>
          <w:lang w:val="pt-BR"/>
        </w:rPr>
        <w:br w:type="page"/>
      </w:r>
    </w:p>
    <w:p w14:paraId="54D2DD52">
      <w:pPr>
        <w:pStyle w:val="131"/>
        <w:widowControl/>
        <w:spacing w:line="300" w:lineRule="atLeast"/>
        <w:jc w:val="center"/>
        <w:rPr>
          <w:rFonts w:hint="default" w:ascii="Calibri" w:hAnsi="Calibri" w:cs="Calibri"/>
          <w:b/>
          <w:bCs/>
          <w:sz w:val="21"/>
          <w:szCs w:val="21"/>
          <w:lang w:val="pt-BR"/>
        </w:rPr>
      </w:pPr>
      <w:r>
        <w:rPr>
          <w:rFonts w:hint="default" w:ascii="Calibri" w:hAnsi="Calibri" w:cs="Calibri"/>
          <w:b/>
          <w:bCs/>
          <w:sz w:val="21"/>
          <w:szCs w:val="21"/>
          <w:lang w:val="pt-BR"/>
        </w:rPr>
        <w:t>ANEXO III</w:t>
      </w:r>
    </w:p>
    <w:p w14:paraId="734824D0">
      <w:pPr>
        <w:jc w:val="center"/>
        <w:rPr>
          <w:rFonts w:hint="default" w:ascii="Calibri" w:hAnsi="Calibri" w:cs="Calibri"/>
          <w:b/>
          <w:bCs/>
          <w:sz w:val="21"/>
          <w:szCs w:val="21"/>
          <w:lang w:val="pt-BR"/>
        </w:rPr>
      </w:pPr>
      <w:r>
        <w:rPr>
          <w:rFonts w:hint="default" w:ascii="Calibri" w:hAnsi="Calibri" w:cs="Calibri"/>
          <w:b/>
          <w:bCs/>
          <w:sz w:val="21"/>
          <w:szCs w:val="21"/>
          <w:lang w:val="pt-BR"/>
        </w:rPr>
        <w:t xml:space="preserve">PREGÃO ELETRONICO </w:t>
      </w:r>
      <w:r>
        <w:rPr>
          <w:rFonts w:hint="default" w:ascii="Calibri" w:hAnsi="Calibri" w:cs="Calibri"/>
          <w:b/>
          <w:bCs/>
          <w:sz w:val="21"/>
          <w:szCs w:val="21"/>
        </w:rPr>
        <w:t>Nº</w:t>
      </w:r>
      <w:r>
        <w:rPr>
          <w:rFonts w:hint="default" w:ascii="Calibri" w:hAnsi="Calibri" w:cs="Calibri"/>
          <w:b/>
          <w:bCs/>
          <w:sz w:val="21"/>
          <w:szCs w:val="21"/>
          <w:lang w:val="pt-BR"/>
        </w:rPr>
        <w:t xml:space="preserve"> 005/</w:t>
      </w:r>
      <w:r>
        <w:rPr>
          <w:rFonts w:hint="default" w:ascii="Calibri" w:hAnsi="Calibri" w:cs="Calibri"/>
          <w:b/>
          <w:bCs/>
          <w:sz w:val="21"/>
          <w:szCs w:val="21"/>
        </w:rPr>
        <w:t>20</w:t>
      </w:r>
      <w:r>
        <w:rPr>
          <w:rFonts w:hint="default" w:ascii="Calibri" w:hAnsi="Calibri" w:cs="Calibri"/>
          <w:b/>
          <w:bCs/>
          <w:sz w:val="21"/>
          <w:szCs w:val="21"/>
          <w:lang w:val="pt-BR"/>
        </w:rPr>
        <w:t>24</w:t>
      </w:r>
    </w:p>
    <w:p w14:paraId="751B730B">
      <w:pPr>
        <w:pStyle w:val="131"/>
        <w:widowControl/>
        <w:spacing w:line="300" w:lineRule="atLeast"/>
        <w:jc w:val="center"/>
        <w:rPr>
          <w:rFonts w:ascii="Calibri" w:hAnsi="Calibri" w:cs="Arial"/>
          <w:b/>
          <w:sz w:val="22"/>
          <w:szCs w:val="22"/>
          <w:lang w:val="pt-BR"/>
        </w:rPr>
      </w:pPr>
      <w:r>
        <w:rPr>
          <w:rFonts w:ascii="Calibri" w:hAnsi="Calibri" w:cs="Arial"/>
          <w:b/>
          <w:sz w:val="22"/>
          <w:szCs w:val="22"/>
          <w:highlight w:val="lightGray"/>
          <w:lang w:val="pt-BR"/>
        </w:rPr>
        <w:t>DOCUMENTOS NECESSÁRIOS PARA HABILITAÇÃO</w:t>
      </w:r>
    </w:p>
    <w:p w14:paraId="07F178D1">
      <w:pPr>
        <w:pStyle w:val="131"/>
        <w:widowControl/>
        <w:spacing w:line="300" w:lineRule="atLeast"/>
        <w:jc w:val="both"/>
        <w:rPr>
          <w:rFonts w:ascii="Calibri" w:hAnsi="Calibri" w:cs="Arial"/>
          <w:sz w:val="22"/>
          <w:szCs w:val="22"/>
          <w:lang w:val="pt-BR"/>
        </w:rPr>
      </w:pPr>
    </w:p>
    <w:p w14:paraId="36BA263B">
      <w:pPr>
        <w:pStyle w:val="131"/>
        <w:widowControl/>
        <w:spacing w:line="300" w:lineRule="atLeast"/>
        <w:jc w:val="both"/>
        <w:rPr>
          <w:rFonts w:ascii="Calibri" w:hAnsi="Calibri" w:cs="Arial"/>
          <w:sz w:val="22"/>
          <w:szCs w:val="22"/>
          <w:lang w:val="pt-BR"/>
        </w:rPr>
      </w:pPr>
    </w:p>
    <w:p w14:paraId="746F08F7">
      <w:pPr>
        <w:spacing w:line="288" w:lineRule="auto"/>
        <w:jc w:val="both"/>
        <w:rPr>
          <w:rFonts w:hint="default" w:ascii="Calibri" w:hAnsi="Calibri" w:cs="Arial"/>
          <w:b/>
          <w:bCs/>
          <w:sz w:val="22"/>
          <w:szCs w:val="22"/>
          <w:shd w:val="clear" w:color="auto" w:fill="8AF9F8"/>
          <w:lang w:val="pt-BR"/>
        </w:rPr>
      </w:pPr>
      <w:r>
        <w:rPr>
          <w:rFonts w:ascii="Calibri" w:hAnsi="Calibri" w:cs="Arial"/>
          <w:sz w:val="22"/>
          <w:szCs w:val="22"/>
        </w:rPr>
        <w:t xml:space="preserve">O licitante vencedor deverá </w:t>
      </w:r>
      <w:r>
        <w:rPr>
          <w:rFonts w:hint="default" w:ascii="Calibri" w:hAnsi="Calibri" w:cs="Arial"/>
          <w:sz w:val="22"/>
          <w:szCs w:val="22"/>
          <w:lang w:val="pt-BR"/>
        </w:rPr>
        <w:t>anexar na plataforma</w:t>
      </w:r>
      <w:r>
        <w:rPr>
          <w:rFonts w:ascii="Calibri" w:hAnsi="Calibri" w:cs="Arial"/>
          <w:sz w:val="22"/>
          <w:szCs w:val="22"/>
        </w:rPr>
        <w:t>, para fins de habilitação</w:t>
      </w:r>
      <w:r>
        <w:rPr>
          <w:rFonts w:hint="default" w:ascii="Calibri" w:hAnsi="Calibri" w:cs="Arial"/>
          <w:sz w:val="22"/>
          <w:szCs w:val="22"/>
          <w:lang w:val="pt-BR"/>
        </w:rPr>
        <w:t xml:space="preserve"> </w:t>
      </w:r>
      <w:r>
        <w:rPr>
          <w:rFonts w:hint="default" w:ascii="Calibri" w:hAnsi="Calibri" w:cs="Arial"/>
          <w:b/>
          <w:bCs/>
          <w:sz w:val="22"/>
          <w:szCs w:val="22"/>
          <w:highlight w:val="cyan"/>
          <w:shd w:val="clear" w:color="auto" w:fill="A3F7AD"/>
          <w:lang w:val="pt-BR"/>
        </w:rPr>
        <w:t>SOMENTE</w:t>
      </w:r>
      <w:r>
        <w:rPr>
          <w:rFonts w:hint="default" w:ascii="Calibri" w:hAnsi="Calibri" w:cs="Arial"/>
          <w:b/>
          <w:bCs/>
          <w:sz w:val="22"/>
          <w:szCs w:val="22"/>
          <w:highlight w:val="cyan"/>
          <w:shd w:val="clear" w:color="auto" w:fill="8AF9F8"/>
          <w:lang w:val="pt-BR"/>
        </w:rPr>
        <w:t>:</w:t>
      </w:r>
    </w:p>
    <w:p w14:paraId="566728E4">
      <w:pPr>
        <w:spacing w:line="288" w:lineRule="auto"/>
        <w:jc w:val="both"/>
        <w:rPr>
          <w:rFonts w:ascii="Calibri" w:hAnsi="Calibri" w:cs="Arial"/>
          <w:sz w:val="22"/>
          <w:szCs w:val="22"/>
        </w:rPr>
      </w:pPr>
    </w:p>
    <w:p w14:paraId="5D36FDC8">
      <w:pPr>
        <w:tabs>
          <w:tab w:val="left" w:pos="851"/>
        </w:tabs>
        <w:spacing w:line="288" w:lineRule="auto"/>
        <w:ind w:right="28"/>
        <w:jc w:val="both"/>
        <w:rPr>
          <w:rFonts w:ascii="Calibri" w:hAnsi="Calibri" w:cs="Arial"/>
          <w:b/>
          <w:spacing w:val="-4"/>
          <w:sz w:val="22"/>
          <w:szCs w:val="22"/>
          <w:highlight w:val="none"/>
        </w:rPr>
      </w:pPr>
      <w:r>
        <w:rPr>
          <w:rFonts w:ascii="Calibri" w:hAnsi="Calibri" w:cs="Arial"/>
          <w:b/>
          <w:spacing w:val="-4"/>
          <w:sz w:val="22"/>
          <w:szCs w:val="22"/>
          <w:highlight w:val="none"/>
        </w:rPr>
        <w:t>Habilitação jurídica:</w:t>
      </w:r>
    </w:p>
    <w:p w14:paraId="02A51C37">
      <w:pPr>
        <w:spacing w:line="288" w:lineRule="auto"/>
        <w:ind w:left="1276" w:right="28"/>
        <w:jc w:val="both"/>
        <w:rPr>
          <w:rFonts w:ascii="Calibri" w:hAnsi="Calibri" w:cs="Arial"/>
          <w:spacing w:val="-4"/>
          <w:sz w:val="22"/>
          <w:szCs w:val="22"/>
          <w:highlight w:val="none"/>
        </w:rPr>
      </w:pPr>
    </w:p>
    <w:p w14:paraId="61A1487C">
      <w:pPr>
        <w:numPr>
          <w:ilvl w:val="0"/>
          <w:numId w:val="12"/>
        </w:numPr>
        <w:tabs>
          <w:tab w:val="left" w:pos="851"/>
          <w:tab w:val="clear" w:pos="425"/>
        </w:tabs>
        <w:spacing w:line="288" w:lineRule="auto"/>
        <w:ind w:left="1185" w:leftChars="0" w:right="28" w:firstLine="15" w:firstLineChars="0"/>
        <w:jc w:val="both"/>
        <w:rPr>
          <w:rFonts w:hint="default" w:ascii="Calibri" w:hAnsi="Calibri"/>
          <w:spacing w:val="-4"/>
          <w:sz w:val="22"/>
          <w:szCs w:val="22"/>
          <w:highlight w:val="none"/>
        </w:rPr>
      </w:pPr>
      <w:r>
        <w:rPr>
          <w:rFonts w:hint="default" w:ascii="Calibri" w:hAnsi="Calibri"/>
          <w:b/>
          <w:bCs/>
          <w:spacing w:val="-4"/>
          <w:sz w:val="22"/>
          <w:szCs w:val="22"/>
          <w:highlight w:val="none"/>
        </w:rPr>
        <w:t xml:space="preserve">Empresário individual: </w:t>
      </w:r>
      <w:r>
        <w:rPr>
          <w:rFonts w:hint="default" w:ascii="Calibri" w:hAnsi="Calibri"/>
          <w:spacing w:val="-4"/>
          <w:sz w:val="22"/>
          <w:szCs w:val="22"/>
          <w:highlight w:val="none"/>
        </w:rPr>
        <w:t xml:space="preserve">inscrição no Registro Público de Empresas Mercantis, a cargo da Junta Comercial da respectiva sede; Microempreendedor Individual - MEI: Certificado da Condição de Microempreendedor Individual - CCMEI, cuja aceitação ficará condicionada à verificação da autenticidade no sítio </w:t>
      </w:r>
      <w:r>
        <w:rPr>
          <w:rFonts w:hint="default" w:ascii="Calibri" w:hAnsi="Calibri"/>
          <w:spacing w:val="-4"/>
          <w:sz w:val="22"/>
          <w:szCs w:val="22"/>
          <w:highlight w:val="none"/>
        </w:rPr>
        <w:fldChar w:fldCharType="begin"/>
      </w:r>
      <w:r>
        <w:rPr>
          <w:rFonts w:hint="default" w:ascii="Calibri" w:hAnsi="Calibri"/>
          <w:spacing w:val="-4"/>
          <w:sz w:val="22"/>
          <w:szCs w:val="22"/>
          <w:highlight w:val="none"/>
        </w:rPr>
        <w:instrText xml:space="preserve"> HYPERLINK "https://www.gov.br/empresas-e-negocios/pt-br/empreendedor;" </w:instrText>
      </w:r>
      <w:r>
        <w:rPr>
          <w:rFonts w:hint="default" w:ascii="Calibri" w:hAnsi="Calibri"/>
          <w:spacing w:val="-4"/>
          <w:sz w:val="22"/>
          <w:szCs w:val="22"/>
          <w:highlight w:val="none"/>
        </w:rPr>
        <w:fldChar w:fldCharType="separate"/>
      </w:r>
      <w:r>
        <w:rPr>
          <w:rStyle w:val="13"/>
          <w:rFonts w:hint="default" w:ascii="Calibri" w:hAnsi="Calibri"/>
          <w:spacing w:val="-4"/>
          <w:sz w:val="22"/>
          <w:szCs w:val="22"/>
          <w:highlight w:val="none"/>
        </w:rPr>
        <w:t>https://www.gov.br/empresas-e-negocios/pt-br/empreendedor;</w:t>
      </w:r>
      <w:r>
        <w:rPr>
          <w:rFonts w:hint="default" w:ascii="Calibri" w:hAnsi="Calibri"/>
          <w:spacing w:val="-4"/>
          <w:sz w:val="22"/>
          <w:szCs w:val="22"/>
          <w:highlight w:val="none"/>
        </w:rPr>
        <w:fldChar w:fldCharType="end"/>
      </w:r>
    </w:p>
    <w:p w14:paraId="6CEF7EB6">
      <w:pPr>
        <w:numPr>
          <w:ilvl w:val="0"/>
          <w:numId w:val="0"/>
        </w:numPr>
        <w:tabs>
          <w:tab w:val="left" w:pos="851"/>
        </w:tabs>
        <w:spacing w:line="288" w:lineRule="auto"/>
        <w:ind w:left="1200" w:leftChars="0" w:right="28" w:rightChars="0"/>
        <w:jc w:val="both"/>
        <w:rPr>
          <w:rFonts w:hint="default" w:ascii="Calibri" w:hAnsi="Calibri"/>
          <w:spacing w:val="-4"/>
          <w:sz w:val="22"/>
          <w:szCs w:val="22"/>
          <w:highlight w:val="none"/>
        </w:rPr>
      </w:pPr>
    </w:p>
    <w:p w14:paraId="40A81440">
      <w:pPr>
        <w:numPr>
          <w:ilvl w:val="0"/>
          <w:numId w:val="12"/>
        </w:numPr>
        <w:tabs>
          <w:tab w:val="left" w:pos="851"/>
          <w:tab w:val="clear" w:pos="425"/>
        </w:tabs>
        <w:spacing w:line="288" w:lineRule="auto"/>
        <w:ind w:left="1185" w:leftChars="0" w:right="28" w:firstLine="15" w:firstLineChars="0"/>
        <w:jc w:val="both"/>
        <w:rPr>
          <w:rFonts w:hint="default" w:ascii="Calibri" w:hAnsi="Calibri"/>
          <w:spacing w:val="-4"/>
          <w:sz w:val="22"/>
          <w:szCs w:val="22"/>
          <w:highlight w:val="none"/>
        </w:rPr>
      </w:pPr>
      <w:r>
        <w:rPr>
          <w:rFonts w:hint="default" w:ascii="Calibri" w:hAnsi="Calibri"/>
          <w:b/>
          <w:bCs/>
          <w:spacing w:val="-4"/>
          <w:sz w:val="22"/>
          <w:szCs w:val="22"/>
          <w:highlight w:val="none"/>
        </w:rPr>
        <w:t>Sociedade empresária</w:t>
      </w:r>
      <w:r>
        <w:rPr>
          <w:rFonts w:hint="default" w:ascii="Calibri" w:hAnsi="Calibri"/>
          <w:spacing w:val="-4"/>
          <w:sz w:val="22"/>
          <w:szCs w:val="22"/>
          <w:highlight w:val="none"/>
        </w:rPr>
        <w:t xml:space="preserve">, </w:t>
      </w:r>
      <w:r>
        <w:rPr>
          <w:rFonts w:hint="default" w:ascii="Calibri" w:hAnsi="Calibri"/>
          <w:b/>
          <w:bCs/>
          <w:spacing w:val="-4"/>
          <w:sz w:val="22"/>
          <w:szCs w:val="22"/>
          <w:highlight w:val="none"/>
        </w:rPr>
        <w:t>sociedade limitada unipessoal – SLU ou sociedade identificada como empresa individual de responsabilidade limitada - EIRELI</w:t>
      </w:r>
      <w:r>
        <w:rPr>
          <w:rFonts w:hint="default" w:ascii="Calibri" w:hAnsi="Calibri"/>
          <w:spacing w:val="-4"/>
          <w:sz w:val="22"/>
          <w:szCs w:val="22"/>
          <w:highlight w:val="none"/>
        </w:rPr>
        <w:t>: inscrição do ato constitutivo, estatuto ou contrato social no Registro Público de Empresas Mercantis, a cargo da Junta Comercial da respectiva sede, acompanhada de documento comprobatório de seus administradores;</w:t>
      </w:r>
    </w:p>
    <w:p w14:paraId="16BB76C2">
      <w:pPr>
        <w:numPr>
          <w:ilvl w:val="0"/>
          <w:numId w:val="0"/>
        </w:numPr>
        <w:tabs>
          <w:tab w:val="left" w:pos="851"/>
        </w:tabs>
        <w:spacing w:line="288" w:lineRule="auto"/>
        <w:ind w:left="1200" w:leftChars="0" w:right="28" w:rightChars="0"/>
        <w:jc w:val="both"/>
        <w:rPr>
          <w:rFonts w:hint="default" w:ascii="Calibri" w:hAnsi="Calibri"/>
          <w:spacing w:val="-4"/>
          <w:sz w:val="22"/>
          <w:szCs w:val="22"/>
          <w:highlight w:val="none"/>
        </w:rPr>
      </w:pPr>
    </w:p>
    <w:p w14:paraId="0911B859">
      <w:pPr>
        <w:numPr>
          <w:ilvl w:val="0"/>
          <w:numId w:val="12"/>
        </w:numPr>
        <w:tabs>
          <w:tab w:val="left" w:pos="851"/>
          <w:tab w:val="clear" w:pos="425"/>
        </w:tabs>
        <w:spacing w:line="288" w:lineRule="auto"/>
        <w:ind w:left="1185" w:leftChars="0" w:right="28" w:firstLine="15" w:firstLineChars="0"/>
        <w:jc w:val="both"/>
        <w:rPr>
          <w:rFonts w:hint="default" w:ascii="Calibri" w:hAnsi="Calibri"/>
          <w:spacing w:val="-4"/>
          <w:sz w:val="22"/>
          <w:szCs w:val="22"/>
          <w:highlight w:val="none"/>
        </w:rPr>
      </w:pPr>
      <w:r>
        <w:rPr>
          <w:rFonts w:hint="default" w:ascii="Calibri" w:hAnsi="Calibri"/>
          <w:b/>
          <w:bCs/>
          <w:spacing w:val="-4"/>
          <w:sz w:val="22"/>
          <w:szCs w:val="22"/>
          <w:highlight w:val="none"/>
        </w:rPr>
        <w:t>Sociedade empresária estrangeira:</w:t>
      </w:r>
      <w:r>
        <w:rPr>
          <w:rFonts w:hint="default" w:ascii="Calibri" w:hAnsi="Calibri"/>
          <w:spacing w:val="-4"/>
          <w:sz w:val="22"/>
          <w:szCs w:val="22"/>
          <w:highlight w:val="none"/>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35619759">
      <w:pPr>
        <w:numPr>
          <w:ilvl w:val="0"/>
          <w:numId w:val="0"/>
        </w:numPr>
        <w:tabs>
          <w:tab w:val="left" w:pos="851"/>
        </w:tabs>
        <w:spacing w:line="288" w:lineRule="auto"/>
        <w:ind w:left="1200" w:leftChars="0" w:right="28" w:rightChars="0"/>
        <w:jc w:val="both"/>
        <w:rPr>
          <w:rFonts w:hint="default" w:ascii="Calibri" w:hAnsi="Calibri"/>
          <w:spacing w:val="-4"/>
          <w:sz w:val="22"/>
          <w:szCs w:val="22"/>
          <w:highlight w:val="none"/>
        </w:rPr>
      </w:pPr>
    </w:p>
    <w:p w14:paraId="55C445CF">
      <w:pPr>
        <w:numPr>
          <w:ilvl w:val="0"/>
          <w:numId w:val="12"/>
        </w:numPr>
        <w:tabs>
          <w:tab w:val="left" w:pos="851"/>
          <w:tab w:val="clear" w:pos="425"/>
        </w:tabs>
        <w:spacing w:line="288" w:lineRule="auto"/>
        <w:ind w:left="1185" w:leftChars="0" w:right="28" w:firstLine="15" w:firstLineChars="0"/>
        <w:jc w:val="both"/>
        <w:rPr>
          <w:rFonts w:hint="default" w:ascii="Calibri" w:hAnsi="Calibri"/>
          <w:spacing w:val="-4"/>
          <w:sz w:val="22"/>
          <w:szCs w:val="22"/>
          <w:highlight w:val="none"/>
        </w:rPr>
      </w:pPr>
      <w:r>
        <w:rPr>
          <w:rFonts w:hint="default" w:ascii="Calibri" w:hAnsi="Calibri"/>
          <w:b/>
          <w:bCs/>
          <w:spacing w:val="-4"/>
          <w:sz w:val="22"/>
          <w:szCs w:val="22"/>
          <w:highlight w:val="none"/>
        </w:rPr>
        <w:t>Sociedade simples:</w:t>
      </w:r>
      <w:r>
        <w:rPr>
          <w:rFonts w:hint="default" w:ascii="Calibri" w:hAnsi="Calibri"/>
          <w:spacing w:val="-4"/>
          <w:sz w:val="22"/>
          <w:szCs w:val="22"/>
          <w:highlight w:val="none"/>
        </w:rPr>
        <w:t xml:space="preserve"> inscrição do ato constitutivo no Registro Civil de Pessoas Jurídicas do local de sua sede, acompanhada de documento comprobatório de seus administradores;</w:t>
      </w:r>
    </w:p>
    <w:p w14:paraId="5DA2F66F">
      <w:pPr>
        <w:numPr>
          <w:ilvl w:val="0"/>
          <w:numId w:val="0"/>
        </w:numPr>
        <w:tabs>
          <w:tab w:val="left" w:pos="851"/>
        </w:tabs>
        <w:spacing w:line="288" w:lineRule="auto"/>
        <w:ind w:left="1200" w:leftChars="0" w:right="28" w:rightChars="0"/>
        <w:jc w:val="both"/>
        <w:rPr>
          <w:rFonts w:hint="default" w:ascii="Calibri" w:hAnsi="Calibri"/>
          <w:spacing w:val="-4"/>
          <w:sz w:val="22"/>
          <w:szCs w:val="22"/>
          <w:highlight w:val="none"/>
        </w:rPr>
      </w:pPr>
    </w:p>
    <w:p w14:paraId="056AFF01">
      <w:pPr>
        <w:numPr>
          <w:ilvl w:val="0"/>
          <w:numId w:val="12"/>
        </w:numPr>
        <w:tabs>
          <w:tab w:val="left" w:pos="851"/>
          <w:tab w:val="clear" w:pos="425"/>
        </w:tabs>
        <w:spacing w:line="288" w:lineRule="auto"/>
        <w:ind w:left="1185" w:leftChars="0" w:right="28" w:firstLine="15" w:firstLineChars="0"/>
        <w:jc w:val="both"/>
        <w:rPr>
          <w:rFonts w:hint="default" w:ascii="Calibri" w:hAnsi="Calibri"/>
          <w:spacing w:val="-4"/>
          <w:sz w:val="22"/>
          <w:szCs w:val="22"/>
          <w:highlight w:val="none"/>
        </w:rPr>
      </w:pPr>
      <w:r>
        <w:rPr>
          <w:rFonts w:hint="default" w:ascii="Calibri" w:hAnsi="Calibri"/>
          <w:b/>
          <w:bCs/>
          <w:spacing w:val="-4"/>
          <w:sz w:val="22"/>
          <w:szCs w:val="22"/>
          <w:highlight w:val="none"/>
        </w:rPr>
        <w:t>Filial, sucursal ou agência de sociedade simples ou empresária:</w:t>
      </w:r>
      <w:r>
        <w:rPr>
          <w:rFonts w:hint="default" w:ascii="Calibri" w:hAnsi="Calibri"/>
          <w:spacing w:val="-4"/>
          <w:sz w:val="22"/>
          <w:szCs w:val="22"/>
          <w:highlight w:val="none"/>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2A92D337">
      <w:pPr>
        <w:tabs>
          <w:tab w:val="left" w:pos="851"/>
        </w:tabs>
        <w:spacing w:line="288" w:lineRule="auto"/>
        <w:ind w:left="1260" w:right="28"/>
        <w:jc w:val="both"/>
        <w:rPr>
          <w:rFonts w:hint="default" w:ascii="Calibri" w:hAnsi="Calibri"/>
          <w:spacing w:val="-4"/>
          <w:sz w:val="22"/>
          <w:szCs w:val="22"/>
          <w:highlight w:val="none"/>
        </w:rPr>
      </w:pPr>
    </w:p>
    <w:p w14:paraId="4132B1BA">
      <w:pPr>
        <w:tabs>
          <w:tab w:val="left" w:pos="851"/>
        </w:tabs>
        <w:spacing w:line="288" w:lineRule="auto"/>
        <w:ind w:left="16" w:leftChars="0" w:right="28" w:hanging="16" w:hangingChars="8"/>
        <w:jc w:val="both"/>
        <w:rPr>
          <w:rFonts w:hint="default" w:ascii="Calibri" w:hAnsi="Calibri"/>
          <w:spacing w:val="-4"/>
          <w:sz w:val="22"/>
          <w:szCs w:val="22"/>
          <w:highlight w:val="none"/>
        </w:rPr>
      </w:pPr>
      <w:r>
        <w:rPr>
          <w:rFonts w:hint="default" w:ascii="Calibri" w:hAnsi="Calibri"/>
          <w:spacing w:val="-4"/>
          <w:sz w:val="22"/>
          <w:szCs w:val="22"/>
          <w:highlight w:val="none"/>
        </w:rPr>
        <w:t>Os documentos apresentados deverão estar acompanhados de todas as alterações ou da consolidação respectiva.</w:t>
      </w:r>
    </w:p>
    <w:p w14:paraId="1CBBB3AE">
      <w:pPr>
        <w:tabs>
          <w:tab w:val="left" w:pos="851"/>
        </w:tabs>
        <w:spacing w:line="288" w:lineRule="auto"/>
        <w:ind w:left="16" w:leftChars="0" w:right="28" w:hanging="16" w:hangingChars="8"/>
        <w:jc w:val="both"/>
        <w:rPr>
          <w:rFonts w:hint="default" w:ascii="Calibri" w:hAnsi="Calibri"/>
          <w:spacing w:val="-4"/>
          <w:sz w:val="22"/>
          <w:szCs w:val="22"/>
          <w:highlight w:val="none"/>
        </w:rPr>
      </w:pPr>
    </w:p>
    <w:p w14:paraId="23F2390B">
      <w:pPr>
        <w:tabs>
          <w:tab w:val="left" w:pos="851"/>
        </w:tabs>
        <w:spacing w:line="288" w:lineRule="auto"/>
        <w:ind w:right="28"/>
        <w:jc w:val="both"/>
        <w:rPr>
          <w:rFonts w:ascii="Calibri" w:hAnsi="Calibri" w:cs="Arial"/>
          <w:b/>
          <w:spacing w:val="-4"/>
          <w:sz w:val="21"/>
          <w:szCs w:val="21"/>
        </w:rPr>
      </w:pPr>
      <w:r>
        <w:rPr>
          <w:rFonts w:ascii="Calibri" w:hAnsi="Calibri" w:cs="Arial"/>
          <w:b/>
          <w:spacing w:val="-4"/>
          <w:sz w:val="21"/>
          <w:szCs w:val="21"/>
        </w:rPr>
        <w:t>Regularidade fiscal:</w:t>
      </w:r>
    </w:p>
    <w:p w14:paraId="46306793">
      <w:pPr>
        <w:tabs>
          <w:tab w:val="left" w:pos="851"/>
        </w:tabs>
        <w:spacing w:line="288" w:lineRule="auto"/>
        <w:ind w:right="28"/>
        <w:jc w:val="both"/>
        <w:rPr>
          <w:rFonts w:ascii="Calibri" w:hAnsi="Calibri" w:cs="Arial"/>
          <w:spacing w:val="-4"/>
          <w:sz w:val="21"/>
          <w:szCs w:val="21"/>
        </w:rPr>
      </w:pPr>
    </w:p>
    <w:p w14:paraId="231F819B">
      <w:pPr>
        <w:spacing w:line="288" w:lineRule="auto"/>
        <w:ind w:left="1276" w:right="28"/>
        <w:jc w:val="both"/>
        <w:rPr>
          <w:rFonts w:ascii="Calibri" w:hAnsi="Calibri" w:cs="Arial"/>
          <w:spacing w:val="-4"/>
          <w:sz w:val="21"/>
          <w:szCs w:val="21"/>
        </w:rPr>
      </w:pPr>
      <w:r>
        <w:rPr>
          <w:rFonts w:ascii="Calibri" w:hAnsi="Calibri" w:cs="Arial"/>
          <w:spacing w:val="-4"/>
          <w:sz w:val="21"/>
          <w:szCs w:val="21"/>
        </w:rPr>
        <w:t>a) prova de inscrição no Cadastro Nacional de Pessoa Jurídica (CNPJ);</w:t>
      </w:r>
    </w:p>
    <w:p w14:paraId="0EAB2BF8">
      <w:pPr>
        <w:spacing w:line="288" w:lineRule="auto"/>
        <w:ind w:left="1276" w:right="28"/>
        <w:jc w:val="both"/>
        <w:rPr>
          <w:rFonts w:ascii="Calibri" w:hAnsi="Calibri" w:cs="Arial"/>
          <w:spacing w:val="-4"/>
          <w:sz w:val="21"/>
          <w:szCs w:val="21"/>
        </w:rPr>
      </w:pPr>
      <w:r>
        <w:rPr>
          <w:rFonts w:ascii="Calibri" w:hAnsi="Calibri" w:cs="Arial"/>
          <w:spacing w:val="-4"/>
          <w:sz w:val="21"/>
          <w:szCs w:val="21"/>
        </w:rPr>
        <w:t>b) prova de regularidade com o Fundo de Garantia do Tempo de Serviço (FGTS) – Certidão de Regularidade de Situação (CRS);</w:t>
      </w:r>
    </w:p>
    <w:p w14:paraId="293F9725">
      <w:pPr>
        <w:spacing w:line="288" w:lineRule="auto"/>
        <w:ind w:left="1276" w:right="28"/>
        <w:jc w:val="both"/>
        <w:rPr>
          <w:rFonts w:ascii="Calibri" w:hAnsi="Calibri" w:cs="Arial"/>
          <w:spacing w:val="-4"/>
          <w:sz w:val="21"/>
          <w:szCs w:val="21"/>
        </w:rPr>
      </w:pPr>
      <w:r>
        <w:rPr>
          <w:rFonts w:ascii="Calibri" w:hAnsi="Calibri" w:cs="Arial"/>
          <w:spacing w:val="-4"/>
          <w:sz w:val="21"/>
          <w:szCs w:val="21"/>
        </w:rPr>
        <w:t>c) prova de regularidade com a Fazenda Federal da sede da licitante, mediante a apresentação da Certidão Conjunta de Débitos Relativos a Tributos Federais e à Dívida Ativa da União (a certidão deve ter sido emitida nos termos da Portaria Conjunta PGFN/RFB n. 1751, de 02/10/14);</w:t>
      </w:r>
    </w:p>
    <w:p w14:paraId="3C98EEDE">
      <w:pPr>
        <w:spacing w:line="288" w:lineRule="auto"/>
        <w:ind w:left="1276" w:right="28"/>
        <w:jc w:val="both"/>
        <w:rPr>
          <w:rFonts w:ascii="Calibri" w:hAnsi="Calibri" w:cs="Arial"/>
          <w:sz w:val="21"/>
          <w:szCs w:val="21"/>
        </w:rPr>
      </w:pPr>
      <w:r>
        <w:rPr>
          <w:rFonts w:hint="default" w:ascii="Calibri" w:hAnsi="Calibri" w:cs="Arial"/>
          <w:spacing w:val="-4"/>
          <w:sz w:val="21"/>
          <w:szCs w:val="21"/>
          <w:lang w:val="pt-BR"/>
        </w:rPr>
        <w:t>d</w:t>
      </w:r>
      <w:r>
        <w:rPr>
          <w:rFonts w:ascii="Calibri" w:hAnsi="Calibri" w:cs="Arial"/>
          <w:spacing w:val="-4"/>
          <w:sz w:val="21"/>
          <w:szCs w:val="21"/>
        </w:rPr>
        <w:t>)</w:t>
      </w:r>
      <w:r>
        <w:rPr>
          <w:rFonts w:ascii="Calibri" w:hAnsi="Calibri"/>
          <w:sz w:val="21"/>
          <w:szCs w:val="21"/>
        </w:rPr>
        <w:t xml:space="preserve"> </w:t>
      </w:r>
      <w:r>
        <w:rPr>
          <w:rFonts w:ascii="Calibri" w:hAnsi="Calibri" w:cs="Arial"/>
          <w:sz w:val="21"/>
          <w:szCs w:val="21"/>
        </w:rPr>
        <w:t>Prova de inexistência de débitos devidos perante a Justiça do Trabalho, mediante a apresentação da Certidão Negativa de Débitos Trabalhistas - CNDT, conforme Lei n.12.440/11.</w:t>
      </w:r>
    </w:p>
    <w:p w14:paraId="514581DF">
      <w:pPr>
        <w:spacing w:line="288" w:lineRule="auto"/>
        <w:ind w:left="1276" w:right="28"/>
        <w:jc w:val="both"/>
        <w:rPr>
          <w:rFonts w:ascii="Calibri" w:hAnsi="Calibri" w:cs="Arial"/>
          <w:sz w:val="21"/>
          <w:szCs w:val="21"/>
        </w:rPr>
      </w:pPr>
    </w:p>
    <w:p w14:paraId="632026C3">
      <w:pPr>
        <w:keepNext w:val="0"/>
        <w:keepLines w:val="0"/>
        <w:pageBreakBefore w:val="0"/>
        <w:widowControl/>
        <w:kinsoku/>
        <w:wordWrap/>
        <w:overflowPunct/>
        <w:topLinePunct w:val="0"/>
        <w:autoSpaceDE/>
        <w:autoSpaceDN/>
        <w:bidi w:val="0"/>
        <w:adjustRightInd/>
        <w:snapToGrid/>
        <w:spacing w:before="164" w:beforeLines="50" w:line="240" w:lineRule="auto"/>
        <w:ind w:right="28"/>
        <w:jc w:val="both"/>
        <w:textAlignment w:val="auto"/>
        <w:rPr>
          <w:rFonts w:hint="default" w:ascii="Calibri" w:hAnsi="Calibri"/>
          <w:b/>
          <w:bCs/>
          <w:spacing w:val="-4"/>
          <w:sz w:val="21"/>
          <w:szCs w:val="21"/>
          <w:lang w:val="pt-BR"/>
        </w:rPr>
      </w:pPr>
      <w:r>
        <w:rPr>
          <w:rFonts w:hint="default" w:ascii="Calibri" w:hAnsi="Calibri"/>
          <w:b/>
          <w:bCs/>
          <w:spacing w:val="-4"/>
          <w:sz w:val="21"/>
          <w:szCs w:val="21"/>
          <w:lang w:val="pt-BR"/>
        </w:rPr>
        <w:t>Qualificação Econômico-Financeira</w:t>
      </w:r>
    </w:p>
    <w:p w14:paraId="200FB79C">
      <w:pPr>
        <w:keepNext w:val="0"/>
        <w:keepLines w:val="0"/>
        <w:pageBreakBefore w:val="0"/>
        <w:widowControl/>
        <w:kinsoku/>
        <w:wordWrap/>
        <w:overflowPunct/>
        <w:topLinePunct w:val="0"/>
        <w:autoSpaceDE/>
        <w:autoSpaceDN/>
        <w:bidi w:val="0"/>
        <w:adjustRightInd/>
        <w:snapToGrid/>
        <w:spacing w:before="164" w:beforeLines="50" w:line="240" w:lineRule="auto"/>
        <w:ind w:right="28"/>
        <w:jc w:val="both"/>
        <w:textAlignment w:val="auto"/>
        <w:rPr>
          <w:rFonts w:hint="default" w:ascii="Calibri" w:hAnsi="Calibri"/>
          <w:b/>
          <w:bCs/>
          <w:spacing w:val="-4"/>
          <w:sz w:val="21"/>
          <w:szCs w:val="21"/>
          <w:lang w:val="pt-BR"/>
        </w:rPr>
      </w:pPr>
    </w:p>
    <w:p w14:paraId="58C925FD">
      <w:pPr>
        <w:spacing w:line="288" w:lineRule="auto"/>
        <w:ind w:left="1276" w:right="28"/>
        <w:jc w:val="both"/>
        <w:rPr>
          <w:rFonts w:ascii="Calibri" w:hAnsi="Calibri" w:cs="Arial"/>
          <w:sz w:val="21"/>
          <w:szCs w:val="21"/>
        </w:rPr>
      </w:pPr>
      <w:r>
        <w:rPr>
          <w:rFonts w:hint="default" w:ascii="Calibri" w:hAnsi="Calibri"/>
          <w:color w:val="000000"/>
          <w:sz w:val="21"/>
          <w:szCs w:val="21"/>
        </w:rPr>
        <w:t xml:space="preserve">A) Certidão negativa de falência expedida pelo distribuidor da sede do fornecedor - Lei nº 14.133, de 2021, art. 69, caput, inciso II). </w:t>
      </w:r>
    </w:p>
    <w:p w14:paraId="2E36F05D">
      <w:pPr>
        <w:spacing w:line="288" w:lineRule="auto"/>
        <w:ind w:left="1276" w:right="28"/>
        <w:jc w:val="both"/>
        <w:rPr>
          <w:rFonts w:ascii="Calibri" w:hAnsi="Calibri" w:cs="Arial"/>
          <w:sz w:val="21"/>
          <w:szCs w:val="21"/>
        </w:rPr>
      </w:pPr>
    </w:p>
    <w:p w14:paraId="4F006DDB">
      <w:pPr>
        <w:spacing w:line="288" w:lineRule="auto"/>
        <w:ind w:right="28"/>
        <w:rPr>
          <w:rFonts w:hint="default" w:ascii="Calibri" w:hAnsi="Calibri" w:cs="Calibri"/>
          <w:b/>
          <w:spacing w:val="-4"/>
          <w:sz w:val="21"/>
          <w:szCs w:val="21"/>
        </w:rPr>
      </w:pPr>
      <w:r>
        <w:rPr>
          <w:rFonts w:hint="default" w:ascii="Calibri" w:hAnsi="Calibri" w:cs="Calibri"/>
          <w:b/>
          <w:spacing w:val="-4"/>
          <w:sz w:val="21"/>
          <w:szCs w:val="21"/>
        </w:rPr>
        <w:t>Da Regularidade Fiscal das Micro e Pequenas Empresas:</w:t>
      </w:r>
    </w:p>
    <w:p w14:paraId="2A2EE936">
      <w:pPr>
        <w:spacing w:line="288" w:lineRule="auto"/>
        <w:ind w:right="28"/>
        <w:rPr>
          <w:rFonts w:hint="default" w:ascii="Calibri" w:hAnsi="Calibri" w:cs="Calibri"/>
          <w:b/>
          <w:spacing w:val="-4"/>
          <w:sz w:val="21"/>
          <w:szCs w:val="21"/>
        </w:rPr>
      </w:pPr>
    </w:p>
    <w:p w14:paraId="6F452DBC">
      <w:pPr>
        <w:autoSpaceDE w:val="0"/>
        <w:autoSpaceDN w:val="0"/>
        <w:adjustRightInd w:val="0"/>
        <w:spacing w:line="288" w:lineRule="auto"/>
        <w:ind w:left="1260"/>
        <w:jc w:val="both"/>
        <w:rPr>
          <w:rFonts w:hint="default" w:ascii="Calibri" w:hAnsi="Calibri" w:cs="Calibri"/>
          <w:sz w:val="21"/>
          <w:szCs w:val="21"/>
        </w:rPr>
      </w:pPr>
      <w:r>
        <w:rPr>
          <w:rFonts w:hint="default" w:ascii="Calibri" w:hAnsi="Calibri" w:cs="Calibri"/>
          <w:spacing w:val="-4"/>
          <w:sz w:val="21"/>
          <w:szCs w:val="21"/>
        </w:rPr>
        <w:t xml:space="preserve">a) </w:t>
      </w:r>
      <w:r>
        <w:rPr>
          <w:rFonts w:hint="default" w:ascii="Calibri" w:hAnsi="Calibri" w:cs="Calibri"/>
          <w:sz w:val="21"/>
          <w:szCs w:val="21"/>
        </w:rPr>
        <w:t xml:space="preserve">A comprovação de regularidade fiscal e trabalhista das </w:t>
      </w:r>
      <w:r>
        <w:rPr>
          <w:rFonts w:hint="default" w:ascii="Calibri" w:hAnsi="Calibri" w:cs="Calibri"/>
          <w:bCs/>
          <w:sz w:val="21"/>
          <w:szCs w:val="21"/>
        </w:rPr>
        <w:t xml:space="preserve">microempresas e empresas de pequeno porte </w:t>
      </w:r>
      <w:r>
        <w:rPr>
          <w:rFonts w:hint="default" w:ascii="Calibri" w:hAnsi="Calibri" w:cs="Calibri"/>
          <w:sz w:val="21"/>
          <w:szCs w:val="21"/>
        </w:rPr>
        <w:t>somente será exigida para efeito de assinatura do contrato.</w:t>
      </w:r>
    </w:p>
    <w:p w14:paraId="41D2C6E8">
      <w:pPr>
        <w:autoSpaceDE w:val="0"/>
        <w:autoSpaceDN w:val="0"/>
        <w:adjustRightInd w:val="0"/>
        <w:spacing w:line="288" w:lineRule="auto"/>
        <w:ind w:left="1260"/>
        <w:jc w:val="both"/>
        <w:rPr>
          <w:rFonts w:hint="default" w:ascii="Calibri" w:hAnsi="Calibri" w:cs="Calibri"/>
          <w:sz w:val="21"/>
          <w:szCs w:val="21"/>
        </w:rPr>
      </w:pPr>
    </w:p>
    <w:p w14:paraId="12000FC4">
      <w:pPr>
        <w:autoSpaceDE w:val="0"/>
        <w:autoSpaceDN w:val="0"/>
        <w:adjustRightInd w:val="0"/>
        <w:spacing w:line="288" w:lineRule="auto"/>
        <w:ind w:left="1260"/>
        <w:jc w:val="both"/>
        <w:rPr>
          <w:rFonts w:hint="default" w:ascii="Calibri" w:hAnsi="Calibri" w:cs="Calibri"/>
          <w:sz w:val="21"/>
          <w:szCs w:val="21"/>
        </w:rPr>
      </w:pPr>
      <w:r>
        <w:rPr>
          <w:rFonts w:hint="default" w:ascii="Calibri" w:hAnsi="Calibri" w:cs="Calibri"/>
          <w:bCs/>
          <w:sz w:val="21"/>
          <w:szCs w:val="21"/>
        </w:rPr>
        <w:t xml:space="preserve">b) </w:t>
      </w:r>
      <w:r>
        <w:rPr>
          <w:rFonts w:hint="default" w:ascii="Calibri" w:hAnsi="Calibri" w:cs="Calibri"/>
          <w:sz w:val="21"/>
          <w:szCs w:val="21"/>
        </w:rPr>
        <w:t>As microempresas e empresas de pequeno porte deverão apresentar toda a documentação exigida para efeito de comprovação de regularidade fiscal e trabalhista, mesmo que esta apresente alguma restrição.</w:t>
      </w:r>
    </w:p>
    <w:p w14:paraId="6C6344CF">
      <w:pPr>
        <w:autoSpaceDE w:val="0"/>
        <w:autoSpaceDN w:val="0"/>
        <w:adjustRightInd w:val="0"/>
        <w:spacing w:line="288" w:lineRule="auto"/>
        <w:ind w:left="1260"/>
        <w:jc w:val="both"/>
        <w:rPr>
          <w:rFonts w:hint="default" w:ascii="Calibri" w:hAnsi="Calibri" w:cs="Calibri"/>
          <w:sz w:val="21"/>
          <w:szCs w:val="21"/>
        </w:rPr>
      </w:pPr>
    </w:p>
    <w:p w14:paraId="213E72EC">
      <w:pPr>
        <w:autoSpaceDE w:val="0"/>
        <w:autoSpaceDN w:val="0"/>
        <w:adjustRightInd w:val="0"/>
        <w:spacing w:line="288" w:lineRule="auto"/>
        <w:ind w:left="1260"/>
        <w:jc w:val="both"/>
        <w:rPr>
          <w:rFonts w:hint="default" w:ascii="Calibri" w:hAnsi="Calibri" w:cs="Calibri"/>
          <w:sz w:val="21"/>
          <w:szCs w:val="21"/>
        </w:rPr>
      </w:pPr>
      <w:r>
        <w:rPr>
          <w:rFonts w:hint="default" w:ascii="Calibri" w:hAnsi="Calibri" w:cs="Calibri"/>
          <w:bCs/>
          <w:sz w:val="21"/>
          <w:szCs w:val="21"/>
        </w:rPr>
        <w:t xml:space="preserve">c) </w:t>
      </w:r>
      <w:r>
        <w:rPr>
          <w:rFonts w:hint="default" w:ascii="Calibri" w:hAnsi="Calibri" w:cs="Calibri"/>
          <w:sz w:val="21"/>
          <w:szCs w:val="21"/>
        </w:rPr>
        <w:t>Havendo alguma restrição na comprovação da regularidade fiscal e trabalhista das microempresas e empresas de pequeno porte, será assegurado o prazo de 5 (cinco) dias úteis, cujo termo inicial corresponderá ao momento em que o proponente for declarado o vencedor do certame, prorrogáveis por igual período, a critério da Administração, para a regularização da documentação, pagamento ou parcelamento do débito, e emissão de eventuais certidões negativas ou positivas com efeito de certidão negativa.</w:t>
      </w:r>
    </w:p>
    <w:p w14:paraId="4DA8397A">
      <w:pPr>
        <w:autoSpaceDE w:val="0"/>
        <w:autoSpaceDN w:val="0"/>
        <w:adjustRightInd w:val="0"/>
        <w:spacing w:line="288" w:lineRule="auto"/>
        <w:ind w:left="1260"/>
        <w:jc w:val="both"/>
        <w:rPr>
          <w:rFonts w:hint="default" w:ascii="Calibri" w:hAnsi="Calibri" w:cs="Calibri"/>
          <w:sz w:val="21"/>
          <w:szCs w:val="21"/>
        </w:rPr>
      </w:pPr>
    </w:p>
    <w:p w14:paraId="56894C35">
      <w:pPr>
        <w:autoSpaceDE w:val="0"/>
        <w:autoSpaceDN w:val="0"/>
        <w:adjustRightInd w:val="0"/>
        <w:spacing w:line="288" w:lineRule="auto"/>
        <w:ind w:left="1260"/>
        <w:jc w:val="both"/>
        <w:rPr>
          <w:rFonts w:hint="default" w:ascii="Calibri" w:hAnsi="Calibri" w:cs="Calibri"/>
          <w:sz w:val="21"/>
          <w:szCs w:val="21"/>
        </w:rPr>
      </w:pPr>
      <w:r>
        <w:rPr>
          <w:rFonts w:hint="default" w:ascii="Calibri" w:hAnsi="Calibri" w:cs="Calibri"/>
          <w:sz w:val="21"/>
          <w:szCs w:val="21"/>
        </w:rPr>
        <w:t>d) A não-regularização da documentação, implicará decadência do direito à contratação, sem prejuízo das sanções previstas n</w:t>
      </w:r>
      <w:r>
        <w:rPr>
          <w:rFonts w:hint="default" w:ascii="Calibri" w:hAnsi="Calibri" w:cs="Calibri"/>
          <w:sz w:val="21"/>
          <w:szCs w:val="21"/>
          <w:lang w:val="pt-BR"/>
        </w:rPr>
        <w:t>a Lei 14.133/21</w:t>
      </w:r>
      <w:r>
        <w:rPr>
          <w:rFonts w:hint="default" w:ascii="Calibri" w:hAnsi="Calibri" w:cs="Calibri"/>
          <w:sz w:val="21"/>
          <w:szCs w:val="21"/>
        </w:rPr>
        <w:t>, sendo facultado à Administração convocar os licitantes remanescentes, na ordem de classificação.</w:t>
      </w:r>
    </w:p>
    <w:p w14:paraId="3127E13B">
      <w:pPr>
        <w:autoSpaceDE w:val="0"/>
        <w:autoSpaceDN w:val="0"/>
        <w:adjustRightInd w:val="0"/>
        <w:spacing w:line="288" w:lineRule="auto"/>
        <w:ind w:left="1260"/>
        <w:jc w:val="both"/>
        <w:rPr>
          <w:rFonts w:hint="default" w:ascii="Calibri" w:hAnsi="Calibri" w:cs="Calibri"/>
          <w:sz w:val="21"/>
          <w:szCs w:val="21"/>
        </w:rPr>
      </w:pPr>
    </w:p>
    <w:p w14:paraId="39A98D73">
      <w:pPr>
        <w:pStyle w:val="58"/>
        <w:numPr>
          <w:ilvl w:val="0"/>
          <w:numId w:val="0"/>
        </w:numPr>
        <w:spacing w:after="0"/>
        <w:ind w:leftChars="500"/>
        <w:rPr>
          <w:rFonts w:hint="default" w:ascii="Calibri" w:hAnsi="Calibri" w:eastAsia="Times New Roman" w:cs="Calibri"/>
          <w:color w:val="000000"/>
          <w:sz w:val="21"/>
          <w:szCs w:val="21"/>
        </w:rPr>
      </w:pPr>
      <w:r>
        <w:rPr>
          <w:rFonts w:hint="default" w:ascii="Calibri" w:hAnsi="Calibri" w:cs="Calibri"/>
          <w:color w:val="000000"/>
          <w:sz w:val="21"/>
          <w:szCs w:val="21"/>
          <w:lang w:val="pt-BR"/>
        </w:rPr>
        <w:t xml:space="preserve">e) </w:t>
      </w:r>
      <w:r>
        <w:rPr>
          <w:rFonts w:hint="default" w:ascii="Calibri" w:hAnsi="Calibri" w:cs="Calibri"/>
          <w:color w:val="000000"/>
          <w:sz w:val="21"/>
          <w:szCs w:val="21"/>
        </w:rPr>
        <w:t xml:space="preserve">Será concedido tratamento favorecido para as microempresas e empresas de pequeno porte, para as sociedades cooperativas </w:t>
      </w:r>
      <w:r>
        <w:rPr>
          <w:rFonts w:hint="default" w:ascii="Calibri" w:hAnsi="Calibri" w:eastAsia="Times New Roman" w:cs="Calibri"/>
          <w:color w:val="000000"/>
          <w:sz w:val="21"/>
          <w:szCs w:val="21"/>
        </w:rPr>
        <w:t xml:space="preserve">mencionadas no artigo </w:t>
      </w:r>
      <w:r>
        <w:rPr>
          <w:rFonts w:hint="default" w:ascii="Calibri" w:hAnsi="Calibri" w:cs="Calibri"/>
          <w:color w:val="000000"/>
          <w:sz w:val="21"/>
          <w:szCs w:val="21"/>
        </w:rPr>
        <w:t>16 da Lei nº 14.133, de 2021, para o agricultor familiar, o produtor rural pessoa física e para o microempreendedor individual - MEI, nos limites previstos da Lei Complementar nº 123, de 2006.</w:t>
      </w:r>
    </w:p>
    <w:p w14:paraId="4B3B271E">
      <w:pPr>
        <w:pStyle w:val="60"/>
        <w:numPr>
          <w:ilvl w:val="2"/>
          <w:numId w:val="0"/>
        </w:numPr>
        <w:spacing w:after="0"/>
        <w:ind w:left="1423" w:leftChars="593" w:firstLine="12" w:firstLineChars="6"/>
        <w:rPr>
          <w:rFonts w:hint="default" w:ascii="Calibri" w:hAnsi="Calibri" w:cs="Calibri"/>
          <w:color w:val="000000"/>
          <w:sz w:val="21"/>
          <w:szCs w:val="21"/>
          <w:highlight w:val="yellow"/>
          <w:lang w:val="pt-BR"/>
        </w:rPr>
      </w:pPr>
    </w:p>
    <w:p w14:paraId="34BF990F">
      <w:pPr>
        <w:tabs>
          <w:tab w:val="left" w:pos="709"/>
        </w:tabs>
        <w:spacing w:line="288" w:lineRule="auto"/>
        <w:ind w:right="28"/>
        <w:jc w:val="both"/>
        <w:rPr>
          <w:rFonts w:hint="default" w:ascii="Calibri" w:hAnsi="Calibri" w:cs="Calibri"/>
          <w:spacing w:val="-4"/>
          <w:sz w:val="21"/>
          <w:szCs w:val="21"/>
        </w:rPr>
      </w:pPr>
      <w:r>
        <w:rPr>
          <w:rFonts w:hint="default" w:ascii="Calibri" w:hAnsi="Calibri" w:cs="Calibri"/>
          <w:b/>
          <w:spacing w:val="-4"/>
          <w:sz w:val="21"/>
          <w:szCs w:val="21"/>
        </w:rPr>
        <w:t>Sob pena de inabilitação, os documentos apresentados deverão estar</w:t>
      </w:r>
      <w:r>
        <w:rPr>
          <w:rFonts w:hint="default" w:ascii="Calibri" w:hAnsi="Calibri" w:cs="Calibri"/>
          <w:spacing w:val="-4"/>
          <w:sz w:val="21"/>
          <w:szCs w:val="21"/>
        </w:rPr>
        <w:t>:</w:t>
      </w:r>
    </w:p>
    <w:p w14:paraId="02685A7D">
      <w:pPr>
        <w:tabs>
          <w:tab w:val="left" w:pos="709"/>
        </w:tabs>
        <w:spacing w:line="288" w:lineRule="auto"/>
        <w:ind w:right="28"/>
        <w:jc w:val="both"/>
        <w:rPr>
          <w:rFonts w:hint="default" w:ascii="Calibri" w:hAnsi="Calibri" w:cs="Calibri"/>
          <w:spacing w:val="-4"/>
          <w:sz w:val="21"/>
          <w:szCs w:val="21"/>
        </w:rPr>
      </w:pPr>
    </w:p>
    <w:p w14:paraId="12CD0575">
      <w:pPr>
        <w:tabs>
          <w:tab w:val="left" w:pos="851"/>
        </w:tabs>
        <w:spacing w:line="288" w:lineRule="auto"/>
        <w:ind w:left="360" w:right="28" w:firstLine="900"/>
        <w:jc w:val="both"/>
        <w:rPr>
          <w:rFonts w:hint="default" w:ascii="Calibri" w:hAnsi="Calibri" w:cs="Calibri"/>
          <w:spacing w:val="-4"/>
          <w:sz w:val="21"/>
          <w:szCs w:val="21"/>
        </w:rPr>
      </w:pPr>
      <w:r>
        <w:rPr>
          <w:rFonts w:hint="default" w:ascii="Calibri" w:hAnsi="Calibri" w:cs="Calibri"/>
          <w:spacing w:val="-4"/>
          <w:sz w:val="21"/>
          <w:szCs w:val="21"/>
        </w:rPr>
        <w:t>a) em nome da licitante com o n.º do CNPJ e o endereço respectivo, conforme segue:</w:t>
      </w:r>
    </w:p>
    <w:p w14:paraId="101344C7">
      <w:pPr>
        <w:spacing w:line="288" w:lineRule="auto"/>
        <w:ind w:left="1440" w:right="28"/>
        <w:jc w:val="both"/>
        <w:rPr>
          <w:rFonts w:hint="default" w:ascii="Calibri" w:hAnsi="Calibri" w:cs="Calibri"/>
          <w:spacing w:val="-4"/>
          <w:sz w:val="21"/>
          <w:szCs w:val="21"/>
        </w:rPr>
      </w:pPr>
      <w:r>
        <w:rPr>
          <w:rFonts w:hint="default" w:ascii="Calibri" w:hAnsi="Calibri" w:cs="Calibri"/>
          <w:spacing w:val="-4"/>
          <w:sz w:val="21"/>
          <w:szCs w:val="21"/>
        </w:rPr>
        <w:t>a.1) se a licitante for a matriz, todos os documentos deverão estar em nome da matriz; e</w:t>
      </w:r>
    </w:p>
    <w:p w14:paraId="3760C479">
      <w:pPr>
        <w:spacing w:line="288" w:lineRule="auto"/>
        <w:ind w:left="1440" w:right="28"/>
        <w:jc w:val="both"/>
        <w:rPr>
          <w:rFonts w:hint="default" w:ascii="Calibri" w:hAnsi="Calibri" w:cs="Calibri"/>
          <w:spacing w:val="-4"/>
          <w:sz w:val="21"/>
          <w:szCs w:val="21"/>
        </w:rPr>
      </w:pPr>
      <w:r>
        <w:rPr>
          <w:rFonts w:hint="default" w:ascii="Calibri" w:hAnsi="Calibri" w:cs="Calibri"/>
          <w:spacing w:val="-4"/>
          <w:sz w:val="21"/>
          <w:szCs w:val="21"/>
        </w:rPr>
        <w:t>a.2) se a licitante for a filial, todos os documentos deverão estar em nome da filial;</w:t>
      </w:r>
    </w:p>
    <w:p w14:paraId="78FB37FF">
      <w:pPr>
        <w:spacing w:line="288" w:lineRule="auto"/>
        <w:ind w:left="1260" w:right="28" w:firstLine="1"/>
        <w:jc w:val="both"/>
        <w:rPr>
          <w:rFonts w:hint="default" w:ascii="Calibri" w:hAnsi="Calibri" w:cs="Calibri"/>
          <w:spacing w:val="-4"/>
          <w:sz w:val="21"/>
          <w:szCs w:val="21"/>
        </w:rPr>
      </w:pPr>
      <w:r>
        <w:rPr>
          <w:rFonts w:hint="default" w:ascii="Calibri" w:hAnsi="Calibri" w:cs="Calibri"/>
          <w:spacing w:val="-4"/>
          <w:sz w:val="21"/>
          <w:szCs w:val="21"/>
        </w:rPr>
        <w:t>b) fica ressalvado deste dispositivo, os atestados de capacitação técnica que poderão ser emitidos tanto em nome da matriz como da filial, quando exigidos.</w:t>
      </w:r>
    </w:p>
    <w:p w14:paraId="599A0E53">
      <w:pPr>
        <w:spacing w:line="288" w:lineRule="auto"/>
        <w:ind w:left="1260" w:right="28" w:firstLine="1"/>
        <w:jc w:val="both"/>
        <w:rPr>
          <w:rFonts w:hint="default" w:ascii="Calibri" w:hAnsi="Calibri" w:cs="Calibri"/>
          <w:spacing w:val="-4"/>
          <w:sz w:val="21"/>
          <w:szCs w:val="21"/>
        </w:rPr>
      </w:pPr>
      <w:r>
        <w:rPr>
          <w:rFonts w:hint="default" w:ascii="Calibri" w:hAnsi="Calibri" w:cs="Calibri"/>
          <w:spacing w:val="-4"/>
          <w:sz w:val="21"/>
          <w:szCs w:val="21"/>
        </w:rPr>
        <w:t>c) no caso das alíneas anteriores, serão dispensados da filial aqueles documentos que, comprovadamente, forem emitidos somente em nome da matriz e vice-versa.</w:t>
      </w:r>
    </w:p>
    <w:p w14:paraId="5194529F">
      <w:pPr>
        <w:spacing w:line="288" w:lineRule="auto"/>
        <w:ind w:left="1260" w:right="28"/>
        <w:jc w:val="both"/>
        <w:rPr>
          <w:rFonts w:hint="default" w:ascii="Calibri" w:hAnsi="Calibri" w:cs="Calibri"/>
          <w:spacing w:val="-4"/>
          <w:sz w:val="21"/>
          <w:szCs w:val="21"/>
        </w:rPr>
      </w:pPr>
      <w:r>
        <w:rPr>
          <w:rFonts w:hint="default" w:ascii="Calibri" w:hAnsi="Calibri" w:cs="Calibri"/>
          <w:spacing w:val="-4"/>
          <w:sz w:val="21"/>
          <w:szCs w:val="21"/>
        </w:rPr>
        <w:t>d) Caso a licitante pretenda fornecer os produtos por intermédio de outro estabelecimento, matriz ou filial, conforme o caso deverá comprovar também que este atende a todas as exigências habilitatórias.</w:t>
      </w:r>
    </w:p>
    <w:p w14:paraId="5F04F3AE">
      <w:pPr>
        <w:tabs>
          <w:tab w:val="left" w:pos="851"/>
        </w:tabs>
        <w:spacing w:line="288" w:lineRule="auto"/>
        <w:ind w:right="28"/>
        <w:jc w:val="both"/>
        <w:rPr>
          <w:rFonts w:hint="default" w:ascii="Calibri" w:hAnsi="Calibri" w:cs="Calibri"/>
          <w:spacing w:val="-4"/>
          <w:sz w:val="21"/>
          <w:szCs w:val="21"/>
        </w:rPr>
      </w:pPr>
      <w:r>
        <w:rPr>
          <w:rFonts w:hint="default" w:ascii="Calibri" w:hAnsi="Calibri" w:cs="Calibri"/>
          <w:spacing w:val="-4"/>
          <w:sz w:val="21"/>
          <w:szCs w:val="21"/>
        </w:rPr>
        <w:tab/>
      </w:r>
    </w:p>
    <w:p w14:paraId="49F3BEFD">
      <w:pPr>
        <w:tabs>
          <w:tab w:val="left" w:pos="851"/>
        </w:tabs>
        <w:spacing w:line="288" w:lineRule="auto"/>
        <w:ind w:right="28"/>
        <w:jc w:val="both"/>
        <w:rPr>
          <w:rFonts w:hint="default" w:ascii="Calibri" w:hAnsi="Calibri" w:cs="Calibri"/>
          <w:spacing w:val="-4"/>
          <w:sz w:val="21"/>
          <w:szCs w:val="21"/>
        </w:rPr>
      </w:pPr>
      <w:r>
        <w:rPr>
          <w:rFonts w:hint="default" w:ascii="Calibri" w:hAnsi="Calibri" w:cs="Calibri"/>
          <w:spacing w:val="-4"/>
          <w:sz w:val="21"/>
          <w:szCs w:val="21"/>
        </w:rPr>
        <w:t>Os documentos que tiverem prazo de validade de observância obrigatória e este não se encontrar nele expresso, deverão ser datados de, no máximo, 90 (noventa) dias de antecedência da data designada para a entrega dos envelopes de proposta e documentação, com exceção de eventual prazo diverso estabelecido no próprio item.</w:t>
      </w:r>
    </w:p>
    <w:p w14:paraId="4DF1E7E9">
      <w:pPr>
        <w:tabs>
          <w:tab w:val="left" w:pos="851"/>
        </w:tabs>
        <w:spacing w:line="288" w:lineRule="auto"/>
        <w:ind w:right="28"/>
        <w:jc w:val="both"/>
        <w:rPr>
          <w:rFonts w:hint="default" w:ascii="Calibri" w:hAnsi="Calibri" w:cs="Calibri"/>
          <w:spacing w:val="-4"/>
          <w:sz w:val="21"/>
          <w:szCs w:val="21"/>
        </w:rPr>
      </w:pPr>
    </w:p>
    <w:p w14:paraId="65887297">
      <w:pPr>
        <w:pStyle w:val="58"/>
        <w:numPr>
          <w:ilvl w:val="1"/>
          <w:numId w:val="0"/>
        </w:numPr>
        <w:spacing w:after="0"/>
        <w:rPr>
          <w:rFonts w:hint="default" w:ascii="Calibri" w:hAnsi="Calibri" w:cs="Calibri"/>
          <w:b/>
          <w:bCs w:val="0"/>
          <w:sz w:val="21"/>
          <w:szCs w:val="21"/>
          <w:lang w:val="pt-BR"/>
        </w:rPr>
      </w:pPr>
      <w:r>
        <w:rPr>
          <w:rFonts w:hint="default" w:ascii="Calibri" w:hAnsi="Calibri" w:cs="Calibri"/>
          <w:b/>
          <w:bCs w:val="0"/>
          <w:sz w:val="21"/>
          <w:szCs w:val="21"/>
        </w:rPr>
        <w:t>Declarações complementares de apresentação obrigatória</w:t>
      </w:r>
      <w:r>
        <w:rPr>
          <w:rFonts w:hint="default" w:ascii="Calibri" w:hAnsi="Calibri" w:cs="Calibri"/>
          <w:b/>
          <w:bCs w:val="0"/>
          <w:sz w:val="21"/>
          <w:szCs w:val="21"/>
          <w:lang w:val="pt-BR"/>
        </w:rPr>
        <w:t xml:space="preserve"> (ANEXO VI)</w:t>
      </w:r>
    </w:p>
    <w:p w14:paraId="7202B44A">
      <w:pPr>
        <w:spacing w:line="288" w:lineRule="auto"/>
        <w:jc w:val="both"/>
        <w:rPr>
          <w:rFonts w:hint="default" w:ascii="Calibri" w:hAnsi="Calibri" w:cs="Calibri"/>
          <w:sz w:val="21"/>
          <w:szCs w:val="21"/>
        </w:rPr>
      </w:pPr>
    </w:p>
    <w:p w14:paraId="4A944D4C">
      <w:pPr>
        <w:spacing w:line="288" w:lineRule="auto"/>
        <w:jc w:val="both"/>
        <w:rPr>
          <w:rFonts w:hint="default" w:ascii="Calibri" w:hAnsi="Calibri" w:cs="Calibri"/>
          <w:b/>
          <w:sz w:val="21"/>
          <w:szCs w:val="21"/>
        </w:rPr>
      </w:pPr>
      <w:r>
        <w:rPr>
          <w:rFonts w:hint="default" w:ascii="Calibri" w:hAnsi="Calibri" w:cs="Calibri"/>
          <w:b/>
          <w:sz w:val="21"/>
          <w:szCs w:val="21"/>
        </w:rPr>
        <w:t xml:space="preserve">Declaração exclusiva para as microempresas e empresas de pequeno porte (Anexo </w:t>
      </w:r>
      <w:r>
        <w:rPr>
          <w:rFonts w:hint="default" w:ascii="Calibri" w:hAnsi="Calibri" w:cs="Calibri"/>
          <w:b/>
          <w:sz w:val="21"/>
          <w:szCs w:val="21"/>
          <w:lang w:val="pt-BR"/>
        </w:rPr>
        <w:t>VIII</w:t>
      </w:r>
      <w:r>
        <w:rPr>
          <w:rFonts w:hint="default" w:ascii="Calibri" w:hAnsi="Calibri" w:cs="Calibri"/>
          <w:b/>
          <w:sz w:val="21"/>
          <w:szCs w:val="21"/>
        </w:rPr>
        <w:t>).</w:t>
      </w:r>
    </w:p>
    <w:p w14:paraId="77933C78">
      <w:pPr>
        <w:spacing w:line="288" w:lineRule="auto"/>
        <w:jc w:val="both"/>
        <w:rPr>
          <w:rFonts w:hint="default" w:ascii="Calibri" w:hAnsi="Calibri" w:cs="Calibri"/>
          <w:sz w:val="21"/>
          <w:szCs w:val="21"/>
        </w:rPr>
      </w:pPr>
    </w:p>
    <w:p w14:paraId="67E9466B">
      <w:pPr>
        <w:tabs>
          <w:tab w:val="left" w:pos="851"/>
        </w:tabs>
        <w:spacing w:line="288" w:lineRule="auto"/>
        <w:ind w:right="28"/>
        <w:jc w:val="both"/>
        <w:rPr>
          <w:rFonts w:hint="default" w:ascii="Calibri" w:hAnsi="Calibri" w:cs="Calibri"/>
          <w:spacing w:val="-4"/>
          <w:sz w:val="21"/>
          <w:szCs w:val="21"/>
        </w:rPr>
      </w:pPr>
      <w:r>
        <w:rPr>
          <w:rFonts w:hint="default" w:ascii="Calibri" w:hAnsi="Calibri" w:cs="Calibri"/>
          <w:spacing w:val="-4"/>
          <w:sz w:val="21"/>
          <w:szCs w:val="21"/>
        </w:rPr>
        <w:t>Para a verificação da regularidade fiscal, o pregoeiro poderá realizar consulta nos sites específicos na Internet, observados os atos normativos expedidos pelos órgãos públicos responsáveis pela emissão das certidões negativas ou positivas com efeito de negativa.</w:t>
      </w:r>
    </w:p>
    <w:p w14:paraId="3B54AC2A">
      <w:pPr>
        <w:spacing w:line="288" w:lineRule="auto"/>
        <w:jc w:val="both"/>
        <w:rPr>
          <w:rFonts w:hint="default" w:ascii="Calibri" w:hAnsi="Calibri" w:cs="Calibri"/>
          <w:sz w:val="21"/>
          <w:szCs w:val="21"/>
        </w:rPr>
      </w:pPr>
    </w:p>
    <w:p w14:paraId="0A5A6615">
      <w:pPr>
        <w:spacing w:line="288" w:lineRule="auto"/>
        <w:jc w:val="both"/>
        <w:rPr>
          <w:rFonts w:hint="default" w:ascii="Calibri" w:hAnsi="Calibri" w:cs="Calibri"/>
          <w:sz w:val="21"/>
          <w:szCs w:val="21"/>
        </w:rPr>
      </w:pPr>
      <w:r>
        <w:rPr>
          <w:rFonts w:hint="default" w:ascii="Calibri" w:hAnsi="Calibri" w:cs="Calibri"/>
          <w:sz w:val="21"/>
          <w:szCs w:val="21"/>
        </w:rPr>
        <w:t xml:space="preserve">Não serão aceitos protocolos de entrega ou solicitação de documento em substituição aos requeridos neste Edital e seus Anexos. </w:t>
      </w:r>
    </w:p>
    <w:p w14:paraId="2A2B86AA">
      <w:pPr>
        <w:pStyle w:val="18"/>
        <w:keepNext w:val="0"/>
        <w:keepLines w:val="0"/>
        <w:widowControl/>
        <w:suppressLineNumbers w:val="0"/>
        <w:spacing w:before="225" w:beforeAutospacing="0" w:after="225" w:afterAutospacing="0"/>
        <w:ind w:right="0"/>
        <w:jc w:val="both"/>
        <w:rPr>
          <w:rFonts w:hint="default" w:ascii="Calibri" w:hAnsi="Calibri" w:cs="Calibri"/>
          <w:i w:val="0"/>
          <w:iCs w:val="0"/>
          <w:caps w:val="0"/>
          <w:color w:val="000000"/>
          <w:spacing w:val="0"/>
          <w:sz w:val="21"/>
          <w:szCs w:val="21"/>
        </w:rPr>
      </w:pPr>
      <w:r>
        <w:rPr>
          <w:rFonts w:hint="default" w:ascii="Calibri" w:hAnsi="Calibri" w:cs="Calibri"/>
          <w:i w:val="0"/>
          <w:iCs w:val="0"/>
          <w:caps w:val="0"/>
          <w:color w:val="000000"/>
          <w:spacing w:val="0"/>
          <w:sz w:val="21"/>
          <w:szCs w:val="21"/>
          <w:lang w:val="pt-BR"/>
        </w:rPr>
        <w:t>A</w:t>
      </w:r>
      <w:r>
        <w:rPr>
          <w:rFonts w:hint="default" w:ascii="Calibri" w:hAnsi="Calibri" w:cs="Calibri"/>
          <w:i w:val="0"/>
          <w:iCs w:val="0"/>
          <w:caps w:val="0"/>
          <w:color w:val="000000"/>
          <w:spacing w:val="0"/>
          <w:sz w:val="21"/>
          <w:szCs w:val="21"/>
        </w:rPr>
        <w:t xml:space="preserve"> prova de autenticidade de cópia de documento público ou particular poderá ser feita perante agente da Administração, mediante apresentação de original ou de declaração de autenticidade por advogado, sob sua responsabilidade pessoal;</w:t>
      </w:r>
    </w:p>
    <w:p w14:paraId="6A520D55">
      <w:pPr>
        <w:pStyle w:val="18"/>
        <w:keepNext w:val="0"/>
        <w:keepLines w:val="0"/>
        <w:widowControl/>
        <w:suppressLineNumbers w:val="0"/>
        <w:spacing w:before="225" w:beforeAutospacing="0" w:after="225" w:afterAutospacing="0"/>
        <w:ind w:right="0"/>
        <w:jc w:val="both"/>
        <w:rPr>
          <w:rFonts w:hint="default" w:ascii="Calibri" w:hAnsi="Calibri" w:cs="Calibri"/>
          <w:i w:val="0"/>
          <w:iCs w:val="0"/>
          <w:caps w:val="0"/>
          <w:color w:val="000000"/>
          <w:spacing w:val="0"/>
          <w:sz w:val="21"/>
          <w:szCs w:val="21"/>
        </w:rPr>
      </w:pPr>
      <w:bookmarkStart w:id="58" w:name="art12v"/>
      <w:bookmarkEnd w:id="58"/>
      <w:r>
        <w:rPr>
          <w:rFonts w:hint="default" w:ascii="Calibri" w:hAnsi="Calibri" w:cs="Calibri"/>
          <w:i w:val="0"/>
          <w:iCs w:val="0"/>
          <w:caps w:val="0"/>
          <w:color w:val="000000"/>
          <w:spacing w:val="0"/>
          <w:sz w:val="21"/>
          <w:szCs w:val="21"/>
          <w:lang w:val="pt-BR"/>
        </w:rPr>
        <w:t>O</w:t>
      </w:r>
      <w:r>
        <w:rPr>
          <w:rFonts w:hint="default" w:ascii="Calibri" w:hAnsi="Calibri" w:cs="Calibri"/>
          <w:i w:val="0"/>
          <w:iCs w:val="0"/>
          <w:caps w:val="0"/>
          <w:color w:val="000000"/>
          <w:spacing w:val="0"/>
          <w:sz w:val="21"/>
          <w:szCs w:val="21"/>
        </w:rPr>
        <w:t xml:space="preserve"> reconhecimento de firma somente será exigido quando houver dúvida de autenticidade, salvo imposição legal;</w:t>
      </w:r>
    </w:p>
    <w:p w14:paraId="27F16D5E">
      <w:pPr>
        <w:spacing w:line="288" w:lineRule="auto"/>
        <w:jc w:val="both"/>
        <w:rPr>
          <w:rFonts w:hint="default" w:ascii="Calibri" w:hAnsi="Calibri" w:cs="Calibri"/>
          <w:sz w:val="21"/>
          <w:szCs w:val="21"/>
        </w:rPr>
      </w:pPr>
      <w:r>
        <w:rPr>
          <w:rFonts w:hint="default" w:ascii="Calibri" w:hAnsi="Calibri" w:cs="Calibri"/>
          <w:sz w:val="21"/>
          <w:szCs w:val="21"/>
        </w:rPr>
        <w:t>Será considerado inabilitado, o licitante que apresentar documentação incompleta ou em desacordo com o Edital e legislação em vigor.</w:t>
      </w:r>
    </w:p>
    <w:p w14:paraId="5DB9EE99">
      <w:pPr>
        <w:spacing w:line="288" w:lineRule="auto"/>
        <w:jc w:val="both"/>
        <w:rPr>
          <w:rFonts w:hint="default" w:ascii="Calibri" w:hAnsi="Calibri" w:cs="Calibri"/>
          <w:sz w:val="21"/>
          <w:szCs w:val="21"/>
        </w:rPr>
      </w:pPr>
    </w:p>
    <w:p w14:paraId="69D0E9C5">
      <w:pPr>
        <w:spacing w:line="288" w:lineRule="auto"/>
        <w:jc w:val="both"/>
        <w:rPr>
          <w:rFonts w:hint="default" w:ascii="Calibri" w:hAnsi="Calibri" w:cs="Calibri"/>
          <w:sz w:val="21"/>
          <w:szCs w:val="21"/>
        </w:rPr>
      </w:pPr>
      <w:r>
        <w:rPr>
          <w:rFonts w:hint="default" w:ascii="Calibri" w:hAnsi="Calibri" w:cs="Calibri"/>
          <w:sz w:val="21"/>
          <w:szCs w:val="21"/>
        </w:rPr>
        <w:t xml:space="preserve"> O Pregoeiro reserva-se o direito de solicitar o original de qualquer documento, sempre que houver dúvida e julgar necessário.</w:t>
      </w:r>
    </w:p>
    <w:p w14:paraId="4D5F17BE">
      <w:pPr>
        <w:jc w:val="center"/>
        <w:rPr>
          <w:rFonts w:hint="default" w:ascii="Calibri" w:hAnsi="Calibri" w:cs="Calibri"/>
          <w:b/>
          <w:sz w:val="21"/>
          <w:szCs w:val="21"/>
          <w:highlight w:val="lightGray"/>
          <w:lang w:val="pt-BR"/>
        </w:rPr>
      </w:pPr>
      <w:r>
        <w:rPr>
          <w:rFonts w:hint="default" w:ascii="Calibri" w:hAnsi="Calibri" w:cs="Calibri"/>
          <w:sz w:val="21"/>
          <w:szCs w:val="21"/>
        </w:rPr>
        <w:br w:type="page"/>
      </w:r>
      <w:r>
        <w:rPr>
          <w:rFonts w:ascii="Calibri" w:hAnsi="Calibri" w:cs="Arial"/>
          <w:sz w:val="22"/>
          <w:szCs w:val="22"/>
        </w:rPr>
        <w:drawing>
          <wp:anchor distT="0" distB="0" distL="114300" distR="114300" simplePos="0" relativeHeight="251674624" behindDoc="1" locked="0" layoutInCell="1" allowOverlap="1">
            <wp:simplePos x="0" y="0"/>
            <wp:positionH relativeFrom="column">
              <wp:posOffset>-358140</wp:posOffset>
            </wp:positionH>
            <wp:positionV relativeFrom="paragraph">
              <wp:posOffset>184785</wp:posOffset>
            </wp:positionV>
            <wp:extent cx="6362700" cy="9003665"/>
            <wp:effectExtent l="0" t="0" r="0" b="6985"/>
            <wp:wrapThrough wrapText="bothSides">
              <wp:wrapPolygon>
                <wp:start x="0" y="0"/>
                <wp:lineTo x="0" y="21571"/>
                <wp:lineTo x="21535" y="21571"/>
                <wp:lineTo x="21535" y="0"/>
                <wp:lineTo x="0" y="0"/>
              </wp:wrapPolygon>
            </wp:wrapThrough>
            <wp:docPr id="23" name="Imagem 9" descr="DECRETO RETEM IMPO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9" descr="DECRETO RETEM IMPOSTO"/>
                    <pic:cNvPicPr>
                      <a:picLocks noChangeAspect="1"/>
                    </pic:cNvPicPr>
                  </pic:nvPicPr>
                  <pic:blipFill>
                    <a:blip r:embed="rId11"/>
                    <a:stretch>
                      <a:fillRect/>
                    </a:stretch>
                  </pic:blipFill>
                  <pic:spPr>
                    <a:xfrm>
                      <a:off x="0" y="0"/>
                      <a:ext cx="6362700" cy="9003665"/>
                    </a:xfrm>
                    <a:prstGeom prst="rect">
                      <a:avLst/>
                    </a:prstGeom>
                    <a:noFill/>
                    <a:ln>
                      <a:noFill/>
                    </a:ln>
                  </pic:spPr>
                </pic:pic>
              </a:graphicData>
            </a:graphic>
          </wp:anchor>
        </w:drawing>
      </w:r>
      <w:r>
        <w:rPr>
          <w:rFonts w:hint="default" w:ascii="Calibri" w:hAnsi="Calibri" w:cs="Calibri"/>
          <w:b/>
          <w:sz w:val="21"/>
          <w:szCs w:val="21"/>
          <w:highlight w:val="lightGray"/>
          <w:lang w:val="pt-BR"/>
        </w:rPr>
        <w:t>ANEXO IV – INFORMAÇÕES – DECRETO 8.163 DE 21 DE AGOSTO DE 2023</w:t>
      </w:r>
    </w:p>
    <w:p w14:paraId="4ADC8FF4">
      <w:pPr>
        <w:jc w:val="both"/>
        <w:rPr>
          <w:rFonts w:hint="default" w:ascii="Calibri" w:hAnsi="Calibri" w:cs="Calibri"/>
          <w:sz w:val="21"/>
          <w:szCs w:val="21"/>
        </w:rPr>
      </w:pPr>
    </w:p>
    <w:p w14:paraId="59EA6985">
      <w:pPr>
        <w:pStyle w:val="139"/>
        <w:spacing w:line="300" w:lineRule="atLeast"/>
        <w:jc w:val="center"/>
        <w:rPr>
          <w:rFonts w:hint="default" w:ascii="Calibri" w:hAnsi="Calibri" w:cs="Calibri"/>
          <w:b/>
          <w:bCs/>
          <w:sz w:val="21"/>
          <w:szCs w:val="21"/>
        </w:rPr>
      </w:pPr>
      <w:r>
        <w:rPr>
          <w:rFonts w:hint="default" w:ascii="Calibri" w:hAnsi="Calibri" w:cs="Calibri"/>
          <w:b/>
          <w:bCs/>
          <w:sz w:val="21"/>
          <w:szCs w:val="21"/>
          <w:highlight w:val="lightGray"/>
        </w:rPr>
        <w:t xml:space="preserve">ANEXO </w:t>
      </w:r>
      <w:r>
        <w:rPr>
          <w:rFonts w:hint="default" w:ascii="Calibri" w:hAnsi="Calibri" w:cs="Calibri"/>
          <w:b/>
          <w:bCs/>
          <w:sz w:val="21"/>
          <w:szCs w:val="21"/>
          <w:highlight w:val="lightGray"/>
          <w:lang w:val="pt-BR"/>
        </w:rPr>
        <w:t>V</w:t>
      </w:r>
      <w:r>
        <w:rPr>
          <w:rFonts w:hint="default" w:ascii="Calibri" w:hAnsi="Calibri" w:cs="Calibri"/>
          <w:b/>
          <w:bCs/>
          <w:sz w:val="21"/>
          <w:szCs w:val="21"/>
          <w:highlight w:val="lightGray"/>
        </w:rPr>
        <w:t xml:space="preserve"> – DECLARAÇÃO DE INEXISTÊNCIA DE FATOS IMPEDITIVOS</w:t>
      </w:r>
    </w:p>
    <w:p w14:paraId="1FF0EC79">
      <w:pPr>
        <w:spacing w:line="300" w:lineRule="atLeast"/>
        <w:jc w:val="both"/>
        <w:rPr>
          <w:rFonts w:hint="default" w:ascii="Calibri" w:hAnsi="Calibri" w:cs="Calibri"/>
          <w:color w:val="000000"/>
          <w:sz w:val="21"/>
          <w:szCs w:val="21"/>
        </w:rPr>
      </w:pPr>
    </w:p>
    <w:p w14:paraId="4AB2F337">
      <w:pPr>
        <w:spacing w:line="300" w:lineRule="atLeast"/>
        <w:jc w:val="both"/>
        <w:rPr>
          <w:rFonts w:hint="default" w:ascii="Calibri" w:hAnsi="Calibri" w:cs="Calibri"/>
          <w:color w:val="000000"/>
          <w:sz w:val="21"/>
          <w:szCs w:val="21"/>
        </w:rPr>
      </w:pPr>
      <w:r>
        <w:rPr>
          <w:rFonts w:hint="default" w:ascii="Calibri" w:hAnsi="Calibri" w:cs="Calibri"/>
          <w:color w:val="000000"/>
          <w:sz w:val="21"/>
          <w:szCs w:val="21"/>
        </w:rPr>
        <w:t xml:space="preserve"> </w:t>
      </w:r>
    </w:p>
    <w:p w14:paraId="75433E26">
      <w:pPr>
        <w:spacing w:line="300" w:lineRule="atLeast"/>
        <w:jc w:val="both"/>
        <w:rPr>
          <w:rFonts w:hint="default" w:ascii="Calibri" w:hAnsi="Calibri" w:cs="Calibri"/>
          <w:color w:val="000000"/>
          <w:sz w:val="21"/>
          <w:szCs w:val="21"/>
        </w:rPr>
      </w:pPr>
    </w:p>
    <w:p w14:paraId="7868DB60">
      <w:pPr>
        <w:spacing w:line="300" w:lineRule="atLeast"/>
        <w:jc w:val="both"/>
        <w:rPr>
          <w:rFonts w:hint="default" w:ascii="Calibri" w:hAnsi="Calibri" w:cs="Calibri"/>
          <w:color w:val="000000"/>
          <w:sz w:val="21"/>
          <w:szCs w:val="21"/>
        </w:rPr>
      </w:pPr>
    </w:p>
    <w:p w14:paraId="660CA689">
      <w:pPr>
        <w:spacing w:line="300" w:lineRule="atLeast"/>
        <w:jc w:val="both"/>
        <w:rPr>
          <w:rFonts w:hint="default" w:ascii="Calibri" w:hAnsi="Calibri" w:cs="Calibri"/>
          <w:color w:val="000000"/>
          <w:sz w:val="21"/>
          <w:szCs w:val="21"/>
        </w:rPr>
      </w:pPr>
    </w:p>
    <w:p w14:paraId="439F03A3">
      <w:pPr>
        <w:spacing w:line="300" w:lineRule="atLeast"/>
        <w:jc w:val="both"/>
        <w:rPr>
          <w:rFonts w:hint="default" w:ascii="Calibri" w:hAnsi="Calibri" w:cs="Calibri"/>
          <w:sz w:val="21"/>
          <w:szCs w:val="21"/>
        </w:rPr>
      </w:pPr>
      <w:r>
        <w:rPr>
          <w:rFonts w:hint="default" w:ascii="Calibri" w:hAnsi="Calibri" w:cs="Calibri"/>
          <w:color w:val="000000"/>
          <w:sz w:val="21"/>
          <w:szCs w:val="21"/>
        </w:rPr>
        <w:t xml:space="preserve">(Nome da empresa), CNPJ/MF nº (000), sediada (endereço completo), </w:t>
      </w:r>
      <w:r>
        <w:rPr>
          <w:rFonts w:hint="default" w:ascii="Calibri" w:hAnsi="Calibri" w:cs="Calibri"/>
          <w:sz w:val="21"/>
          <w:szCs w:val="21"/>
        </w:rPr>
        <w:t>declara, sob as penas da lei, que até a presente data inexistem fatos impeditivos para sua habilitação no presente processo ciente da obrigatoriedade de declarar ocorrências posteriores.</w:t>
      </w:r>
    </w:p>
    <w:p w14:paraId="2B603AA2">
      <w:pPr>
        <w:spacing w:line="300" w:lineRule="atLeast"/>
        <w:jc w:val="both"/>
        <w:rPr>
          <w:rFonts w:hint="default" w:ascii="Calibri" w:hAnsi="Calibri" w:cs="Calibri"/>
          <w:color w:val="000000"/>
          <w:sz w:val="21"/>
          <w:szCs w:val="21"/>
        </w:rPr>
      </w:pPr>
    </w:p>
    <w:p w14:paraId="414A895F">
      <w:pPr>
        <w:spacing w:line="300" w:lineRule="atLeast"/>
        <w:jc w:val="both"/>
        <w:rPr>
          <w:rFonts w:hint="default" w:ascii="Calibri" w:hAnsi="Calibri" w:cs="Calibri"/>
          <w:color w:val="000000"/>
          <w:sz w:val="21"/>
          <w:szCs w:val="21"/>
        </w:rPr>
      </w:pPr>
      <w:r>
        <w:rPr>
          <w:rFonts w:hint="default" w:ascii="Calibri" w:hAnsi="Calibri" w:cs="Calibri"/>
          <w:color w:val="000000"/>
          <w:sz w:val="21"/>
          <w:szCs w:val="21"/>
        </w:rPr>
        <w:t>(local e data)</w:t>
      </w:r>
    </w:p>
    <w:p w14:paraId="2F2173E3">
      <w:pPr>
        <w:spacing w:line="300" w:lineRule="atLeast"/>
        <w:jc w:val="both"/>
        <w:rPr>
          <w:rFonts w:hint="default" w:ascii="Calibri" w:hAnsi="Calibri" w:cs="Calibri"/>
          <w:color w:val="000000"/>
          <w:sz w:val="21"/>
          <w:szCs w:val="21"/>
        </w:rPr>
      </w:pPr>
      <w:r>
        <w:rPr>
          <w:rFonts w:hint="default" w:ascii="Calibri" w:hAnsi="Calibri" w:cs="Calibri"/>
          <w:color w:val="000000"/>
          <w:sz w:val="21"/>
          <w:szCs w:val="21"/>
        </w:rPr>
        <w:t>______________________________________________</w:t>
      </w:r>
    </w:p>
    <w:p w14:paraId="5EA1491E">
      <w:pPr>
        <w:spacing w:line="300" w:lineRule="atLeast"/>
        <w:jc w:val="both"/>
        <w:rPr>
          <w:rFonts w:hint="default" w:ascii="Calibri" w:hAnsi="Calibri" w:cs="Calibri"/>
          <w:color w:val="000000"/>
          <w:sz w:val="21"/>
          <w:szCs w:val="21"/>
        </w:rPr>
      </w:pPr>
      <w:r>
        <w:rPr>
          <w:rFonts w:hint="default" w:ascii="Calibri" w:hAnsi="Calibri" w:cs="Calibri"/>
          <w:color w:val="000000"/>
          <w:sz w:val="21"/>
          <w:szCs w:val="21"/>
        </w:rPr>
        <w:t>(Nome e número da carteira de identidade do declarante)</w:t>
      </w:r>
    </w:p>
    <w:p w14:paraId="25D2411A">
      <w:pPr>
        <w:spacing w:line="300" w:lineRule="atLeast"/>
        <w:jc w:val="both"/>
        <w:rPr>
          <w:rFonts w:hint="default" w:ascii="Calibri" w:hAnsi="Calibri" w:cs="Calibri"/>
          <w:color w:val="000000"/>
          <w:sz w:val="21"/>
          <w:szCs w:val="21"/>
        </w:rPr>
      </w:pPr>
    </w:p>
    <w:p w14:paraId="5BEE5F51">
      <w:pPr>
        <w:spacing w:line="300" w:lineRule="atLeast"/>
        <w:jc w:val="both"/>
        <w:rPr>
          <w:rFonts w:hint="default" w:ascii="Calibri" w:hAnsi="Calibri" w:cs="Calibri"/>
          <w:color w:val="000000"/>
          <w:sz w:val="21"/>
          <w:szCs w:val="21"/>
        </w:rPr>
      </w:pPr>
      <w:r>
        <w:rPr>
          <w:rFonts w:hint="default" w:ascii="Calibri" w:hAnsi="Calibri" w:cs="Calibri"/>
          <w:b/>
          <w:color w:val="000000"/>
          <w:sz w:val="21"/>
          <w:szCs w:val="21"/>
        </w:rPr>
        <w:t>Obs</w:t>
      </w:r>
      <w:r>
        <w:rPr>
          <w:rFonts w:hint="default" w:ascii="Calibri" w:hAnsi="Calibri" w:cs="Calibri"/>
          <w:color w:val="000000"/>
          <w:sz w:val="21"/>
          <w:szCs w:val="21"/>
        </w:rPr>
        <w:t xml:space="preserve">.: esta declaração deverá ser emitida em papel timbrado da empresa proponente </w:t>
      </w:r>
    </w:p>
    <w:p w14:paraId="54367350">
      <w:pPr>
        <w:jc w:val="both"/>
        <w:rPr>
          <w:rFonts w:hint="default" w:ascii="Calibri" w:hAnsi="Calibri" w:cs="Calibri"/>
          <w:sz w:val="21"/>
          <w:szCs w:val="21"/>
        </w:rPr>
      </w:pPr>
    </w:p>
    <w:p w14:paraId="30399961">
      <w:pPr>
        <w:pStyle w:val="20"/>
        <w:tabs>
          <w:tab w:val="clear" w:pos="4252"/>
          <w:tab w:val="clear" w:pos="8504"/>
        </w:tabs>
        <w:jc w:val="both"/>
        <w:rPr>
          <w:rFonts w:hint="default" w:ascii="Calibri" w:hAnsi="Calibri" w:cs="Calibri"/>
          <w:sz w:val="21"/>
          <w:szCs w:val="21"/>
        </w:rPr>
      </w:pPr>
    </w:p>
    <w:p w14:paraId="4829B114">
      <w:pPr>
        <w:pStyle w:val="139"/>
        <w:spacing w:line="300" w:lineRule="atLeast"/>
        <w:jc w:val="center"/>
        <w:rPr>
          <w:rFonts w:hint="default" w:ascii="Calibri" w:hAnsi="Calibri" w:cs="Calibri"/>
          <w:b/>
          <w:bCs/>
          <w:sz w:val="21"/>
          <w:szCs w:val="21"/>
          <w:lang w:val="pt-BR"/>
        </w:rPr>
      </w:pPr>
      <w:r>
        <w:rPr>
          <w:rFonts w:hint="default" w:ascii="Calibri" w:hAnsi="Calibri" w:cs="Calibri"/>
          <w:b/>
          <w:sz w:val="21"/>
          <w:szCs w:val="21"/>
        </w:rPr>
        <w:br w:type="page"/>
      </w:r>
      <w:r>
        <w:rPr>
          <w:rFonts w:hint="default" w:ascii="Calibri" w:hAnsi="Calibri" w:cs="Calibri"/>
          <w:b/>
          <w:bCs/>
          <w:sz w:val="21"/>
          <w:szCs w:val="21"/>
          <w:highlight w:val="lightGray"/>
        </w:rPr>
        <w:t xml:space="preserve">ANEXO </w:t>
      </w:r>
      <w:r>
        <w:rPr>
          <w:rFonts w:hint="default" w:ascii="Calibri" w:hAnsi="Calibri" w:cs="Calibri"/>
          <w:b/>
          <w:bCs/>
          <w:sz w:val="21"/>
          <w:szCs w:val="21"/>
          <w:highlight w:val="lightGray"/>
          <w:lang w:val="pt-BR"/>
        </w:rPr>
        <w:t>VI</w:t>
      </w:r>
      <w:r>
        <w:rPr>
          <w:rFonts w:hint="default" w:ascii="Calibri" w:hAnsi="Calibri" w:cs="Calibri"/>
          <w:b/>
          <w:bCs/>
          <w:sz w:val="21"/>
          <w:szCs w:val="21"/>
          <w:highlight w:val="lightGray"/>
        </w:rPr>
        <w:t xml:space="preserve"> – </w:t>
      </w:r>
      <w:r>
        <w:rPr>
          <w:rFonts w:hint="default" w:ascii="Calibri" w:hAnsi="Calibri" w:cs="Calibri"/>
          <w:b/>
          <w:bCs/>
          <w:sz w:val="21"/>
          <w:szCs w:val="21"/>
          <w:highlight w:val="lightGray"/>
          <w:lang w:val="pt-BR"/>
        </w:rPr>
        <w:t>MODELO DE DECLARAÇÕES</w:t>
      </w:r>
    </w:p>
    <w:p w14:paraId="526AF908">
      <w:pPr>
        <w:pStyle w:val="139"/>
        <w:spacing w:line="300" w:lineRule="atLeast"/>
        <w:ind w:left="648" w:hanging="648"/>
        <w:jc w:val="both"/>
        <w:rPr>
          <w:rFonts w:hint="default" w:ascii="Calibri" w:hAnsi="Calibri" w:cs="Calibri"/>
          <w:sz w:val="21"/>
          <w:szCs w:val="21"/>
        </w:rPr>
      </w:pPr>
    </w:p>
    <w:p w14:paraId="01EE051A">
      <w:pPr>
        <w:pStyle w:val="139"/>
        <w:spacing w:line="300" w:lineRule="atLeast"/>
        <w:ind w:left="648" w:hanging="648"/>
        <w:jc w:val="both"/>
        <w:rPr>
          <w:rFonts w:hint="default" w:ascii="Calibri" w:hAnsi="Calibri" w:cs="Calibri"/>
          <w:sz w:val="21"/>
          <w:szCs w:val="21"/>
        </w:rPr>
      </w:pPr>
      <w:r>
        <w:rPr>
          <w:rFonts w:hint="default" w:ascii="Calibri" w:hAnsi="Calibri" w:cs="Calibri"/>
          <w:sz w:val="21"/>
          <w:szCs w:val="21"/>
        </w:rPr>
        <mc:AlternateContent>
          <mc:Choice Requires="wps">
            <w:drawing>
              <wp:anchor distT="0" distB="0" distL="114300" distR="114300" simplePos="0" relativeHeight="251666432" behindDoc="1" locked="0" layoutInCell="1" allowOverlap="1">
                <wp:simplePos x="0" y="0"/>
                <wp:positionH relativeFrom="column">
                  <wp:posOffset>-224155</wp:posOffset>
                </wp:positionH>
                <wp:positionV relativeFrom="paragraph">
                  <wp:posOffset>16510</wp:posOffset>
                </wp:positionV>
                <wp:extent cx="6275070" cy="5226685"/>
                <wp:effectExtent l="4445" t="4445" r="6985" b="7620"/>
                <wp:wrapNone/>
                <wp:docPr id="25" name="Retângulo 25"/>
                <wp:cNvGraphicFramePr/>
                <a:graphic xmlns:a="http://schemas.openxmlformats.org/drawingml/2006/main">
                  <a:graphicData uri="http://schemas.microsoft.com/office/word/2010/wordprocessingShape">
                    <wps:wsp>
                      <wps:cNvSpPr/>
                      <wps:spPr>
                        <a:xfrm>
                          <a:off x="0" y="0"/>
                          <a:ext cx="6275070" cy="5226685"/>
                        </a:xfrm>
                        <a:prstGeom prst="rect">
                          <a:avLst/>
                        </a:prstGeom>
                        <a:solidFill>
                          <a:srgbClr val="F2B1BC"/>
                        </a:solidFill>
                        <a:ln w="9525" cap="flat" cmpd="sng">
                          <a:solidFill>
                            <a:srgbClr val="000000"/>
                          </a:solidFill>
                          <a:prstDash val="solid"/>
                          <a:miter/>
                          <a:headEnd type="none" w="med" len="med"/>
                          <a:tailEnd type="none" w="med" len="med"/>
                        </a:ln>
                      </wps:spPr>
                      <wps:txbx>
                        <w:txbxContent>
                          <w:p w14:paraId="3F94B45C"/>
                        </w:txbxContent>
                      </wps:txbx>
                      <wps:bodyPr upright="1"/>
                    </wps:wsp>
                  </a:graphicData>
                </a:graphic>
              </wp:anchor>
            </w:drawing>
          </mc:Choice>
          <mc:Fallback>
            <w:pict>
              <v:rect id="_x0000_s1026" o:spid="_x0000_s1026" o:spt="1" style="position:absolute;left:0pt;margin-left:-17.65pt;margin-top:1.3pt;height:411.55pt;width:494.1pt;z-index:-251650048;mso-width-relative:page;mso-height-relative:page;" fillcolor="#F2B1BC" filled="t" stroked="t" coordsize="21600,21600" o:gfxdata="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4b78toAAAAJAQAADwAAAAAAAAABACAAAAAiAAAA&#10;ZHJzL2Rvd25yZXYueG1sUEsBAhQAFAAAAAgAh07iQKMgTl0FAgAAMAQAAA4AAAAAAAAAAQAgAAAA&#10;KQEAAGRycy9lMm9Eb2MueG1sUEsFBgAAAAAGAAYAWQEAAKAFAAAAAA==&#10;">
                <v:fill on="t" focussize="0,0"/>
                <v:stroke color="#000000" joinstyle="miter"/>
                <v:imagedata o:title=""/>
                <o:lock v:ext="edit" aspectratio="f"/>
                <v:textbox>
                  <w:txbxContent>
                    <w:p w14:paraId="3F94B45C"/>
                  </w:txbxContent>
                </v:textbox>
              </v:rect>
            </w:pict>
          </mc:Fallback>
        </mc:AlternateContent>
      </w:r>
    </w:p>
    <w:p w14:paraId="0EDC2F71">
      <w:pPr>
        <w:pStyle w:val="139"/>
        <w:numPr>
          <w:ilvl w:val="0"/>
          <w:numId w:val="13"/>
        </w:numPr>
        <w:spacing w:line="300" w:lineRule="atLeast"/>
        <w:ind w:left="648" w:hanging="648"/>
        <w:jc w:val="both"/>
        <w:rPr>
          <w:rFonts w:hint="default" w:ascii="Calibri" w:hAnsi="Calibri" w:cs="Calibri"/>
          <w:b/>
          <w:bCs/>
          <w:sz w:val="21"/>
          <w:szCs w:val="21"/>
        </w:rPr>
      </w:pPr>
      <w:r>
        <w:rPr>
          <w:rFonts w:hint="default" w:ascii="Calibri" w:hAnsi="Calibri" w:cs="Calibri"/>
          <w:b/>
          <w:bCs/>
          <w:sz w:val="21"/>
          <w:szCs w:val="21"/>
        </w:rPr>
        <w:t>DECLARAÇÃO NEGATIVA DE RELAÇÃO FAMILIAR OU PARENTESCO</w:t>
      </w:r>
    </w:p>
    <w:p w14:paraId="32BF89C3">
      <w:pPr>
        <w:pStyle w:val="139"/>
        <w:spacing w:line="300" w:lineRule="atLeast"/>
        <w:ind w:left="648" w:hanging="648"/>
        <w:jc w:val="both"/>
        <w:rPr>
          <w:rFonts w:hint="default" w:ascii="Calibri" w:hAnsi="Calibri" w:cs="Calibri"/>
          <w:sz w:val="21"/>
          <w:szCs w:val="21"/>
        </w:rPr>
      </w:pPr>
    </w:p>
    <w:p w14:paraId="5DBC5E1A">
      <w:pPr>
        <w:pStyle w:val="139"/>
        <w:spacing w:line="300" w:lineRule="atLeast"/>
        <w:ind w:left="648" w:hanging="648"/>
        <w:jc w:val="both"/>
        <w:rPr>
          <w:rFonts w:hint="default" w:ascii="Calibri" w:hAnsi="Calibri" w:cs="Calibri"/>
          <w:sz w:val="21"/>
          <w:szCs w:val="21"/>
          <w:lang w:val="pt-BR"/>
        </w:rPr>
      </w:pPr>
      <w:r>
        <w:rPr>
          <w:rFonts w:hint="default" w:ascii="Calibri" w:hAnsi="Calibri" w:cs="Calibri"/>
          <w:sz w:val="21"/>
          <w:szCs w:val="21"/>
        </w:rPr>
        <w:t xml:space="preserve">         Edital [.] n° </w:t>
      </w:r>
      <w:r>
        <w:rPr>
          <w:rFonts w:hint="default" w:ascii="Calibri" w:hAnsi="Calibri" w:cs="Calibri"/>
          <w:sz w:val="21"/>
          <w:szCs w:val="21"/>
          <w:lang w:val="pt-BR"/>
        </w:rPr>
        <w:t>005/2025</w:t>
      </w:r>
    </w:p>
    <w:p w14:paraId="39B45B37">
      <w:pPr>
        <w:pStyle w:val="139"/>
        <w:spacing w:line="300" w:lineRule="atLeast"/>
        <w:ind w:left="648" w:hanging="648"/>
        <w:jc w:val="both"/>
        <w:rPr>
          <w:rFonts w:hint="default" w:ascii="Calibri" w:hAnsi="Calibri" w:cs="Calibri"/>
          <w:sz w:val="21"/>
          <w:szCs w:val="21"/>
        </w:rPr>
      </w:pPr>
    </w:p>
    <w:p w14:paraId="113A287B">
      <w:pPr>
        <w:pStyle w:val="139"/>
        <w:spacing w:line="300" w:lineRule="atLeast"/>
        <w:ind w:left="8" w:leftChars="0" w:hanging="8" w:firstLineChars="0"/>
        <w:jc w:val="both"/>
        <w:rPr>
          <w:rFonts w:hint="default" w:ascii="Calibri" w:hAnsi="Calibri" w:cs="Calibri"/>
          <w:sz w:val="21"/>
          <w:szCs w:val="21"/>
        </w:rPr>
      </w:pPr>
      <w:r>
        <w:rPr>
          <w:rFonts w:hint="default" w:ascii="Calibri" w:hAnsi="Calibri" w:cs="Calibri"/>
          <w:sz w:val="21"/>
          <w:szCs w:val="21"/>
        </w:rPr>
        <w:t xml:space="preserve">     (nome  da  pessoa </w:t>
      </w:r>
      <w:r>
        <w:rPr>
          <w:rFonts w:hint="default" w:ascii="Calibri" w:hAnsi="Calibri" w:cs="Calibri"/>
          <w:sz w:val="21"/>
          <w:szCs w:val="21"/>
          <w:lang w:val="pt-BR"/>
        </w:rPr>
        <w:t>física</w:t>
      </w:r>
      <w:r>
        <w:rPr>
          <w:rFonts w:hint="default" w:ascii="Calibri" w:hAnsi="Calibri" w:cs="Calibri"/>
          <w:sz w:val="21"/>
          <w:szCs w:val="21"/>
        </w:rPr>
        <w:t>/</w:t>
      </w:r>
      <w:r>
        <w:rPr>
          <w:rFonts w:hint="default" w:ascii="Calibri" w:hAnsi="Calibri" w:cs="Calibri"/>
          <w:sz w:val="21"/>
          <w:szCs w:val="21"/>
          <w:lang w:val="pt-BR"/>
        </w:rPr>
        <w:t>jurídica</w:t>
      </w:r>
      <w:r>
        <w:rPr>
          <w:rFonts w:hint="default" w:ascii="Calibri" w:hAnsi="Calibri" w:cs="Calibri"/>
          <w:sz w:val="21"/>
          <w:szCs w:val="21"/>
        </w:rPr>
        <w:t>), inscrita no CNPJ/CPF sob o n.</w:t>
      </w:r>
      <w:r>
        <w:rPr>
          <w:rFonts w:hint="default" w:ascii="Calibri" w:hAnsi="Calibri" w:cs="Calibri"/>
          <w:sz w:val="21"/>
          <w:szCs w:val="21"/>
          <w:lang w:val="pt-BR"/>
        </w:rPr>
        <w:t>.........................</w:t>
      </w:r>
      <w:r>
        <w:rPr>
          <w:rFonts w:hint="default" w:ascii="Calibri" w:hAnsi="Calibri" w:cs="Calibri"/>
          <w:sz w:val="21"/>
          <w:szCs w:val="21"/>
        </w:rPr>
        <w:t xml:space="preserve"> , por intermédio de seu representante legal o(a) Sr(a).</w:t>
      </w:r>
      <w:r>
        <w:rPr>
          <w:rFonts w:hint="default" w:ascii="Calibri" w:hAnsi="Calibri" w:cs="Calibri"/>
          <w:sz w:val="21"/>
          <w:szCs w:val="21"/>
          <w:lang w:val="pt-BR"/>
        </w:rPr>
        <w:t>.................</w:t>
      </w:r>
      <w:r>
        <w:rPr>
          <w:rFonts w:hint="default" w:ascii="Calibri" w:hAnsi="Calibri" w:cs="Calibri"/>
          <w:sz w:val="21"/>
          <w:szCs w:val="21"/>
        </w:rPr>
        <w:t xml:space="preserve"> , portador(a) do CPF n</w:t>
      </w:r>
      <w:r>
        <w:rPr>
          <w:rFonts w:hint="default" w:ascii="Calibri" w:hAnsi="Calibri" w:cs="Calibri"/>
          <w:sz w:val="21"/>
          <w:szCs w:val="21"/>
          <w:lang w:val="pt-BR"/>
        </w:rPr>
        <w:t>......................</w:t>
      </w:r>
      <w:r>
        <w:rPr>
          <w:rFonts w:hint="default" w:ascii="Calibri" w:hAnsi="Calibri" w:cs="Calibri"/>
          <w:sz w:val="21"/>
          <w:szCs w:val="21"/>
        </w:rPr>
        <w:t xml:space="preserve">. , considerando o disposto na Lei Federal n° 14.133/21, art. 14, IV, DECLARA, para todos os efeitos legais que: </w:t>
      </w:r>
    </w:p>
    <w:p w14:paraId="6BD1AA6C">
      <w:pPr>
        <w:pStyle w:val="139"/>
        <w:spacing w:line="300" w:lineRule="atLeast"/>
        <w:ind w:left="648" w:hanging="648"/>
        <w:jc w:val="both"/>
        <w:rPr>
          <w:rFonts w:hint="default" w:ascii="Calibri" w:hAnsi="Calibri" w:cs="Calibri"/>
          <w:sz w:val="21"/>
          <w:szCs w:val="21"/>
        </w:rPr>
      </w:pPr>
    </w:p>
    <w:p w14:paraId="02B49BBF">
      <w:pPr>
        <w:keepNext w:val="0"/>
        <w:keepLines w:val="0"/>
        <w:pageBreakBefore w:val="0"/>
        <w:widowControl/>
        <w:kinsoku/>
        <w:wordWrap/>
        <w:overflowPunct/>
        <w:topLinePunct w:val="0"/>
        <w:autoSpaceDE/>
        <w:autoSpaceDN/>
        <w:bidi w:val="0"/>
        <w:adjustRightInd/>
        <w:snapToGrid/>
        <w:jc w:val="both"/>
        <w:textAlignment w:val="auto"/>
        <w:rPr>
          <w:rFonts w:hint="default" w:ascii="Calibri" w:hAnsi="Calibri" w:cs="Calibri"/>
          <w:sz w:val="21"/>
          <w:szCs w:val="21"/>
        </w:rPr>
      </w:pPr>
      <w:r>
        <w:rPr>
          <w:rFonts w:hint="default" w:ascii="Calibri" w:hAnsi="Calibri" w:cs="Calibri"/>
          <w:sz w:val="21"/>
          <w:szCs w:val="21"/>
        </w:rPr>
        <w:t xml:space="preserve">     1. não possui sócio(s) ou, no caso de sociedade anônima, diretor(es) que seja(m): </w:t>
      </w:r>
    </w:p>
    <w:p w14:paraId="6298AB94">
      <w:pPr>
        <w:keepNext w:val="0"/>
        <w:keepLines w:val="0"/>
        <w:pageBreakBefore w:val="0"/>
        <w:widowControl/>
        <w:kinsoku/>
        <w:wordWrap/>
        <w:overflowPunct/>
        <w:topLinePunct w:val="0"/>
        <w:autoSpaceDE/>
        <w:autoSpaceDN/>
        <w:bidi w:val="0"/>
        <w:adjustRightInd/>
        <w:snapToGrid/>
        <w:jc w:val="both"/>
        <w:textAlignment w:val="auto"/>
        <w:rPr>
          <w:rFonts w:hint="default" w:ascii="Calibri" w:hAnsi="Calibri" w:cs="Calibri"/>
          <w:sz w:val="21"/>
          <w:szCs w:val="21"/>
        </w:rPr>
      </w:pPr>
      <w:r>
        <w:rPr>
          <w:rFonts w:hint="default" w:ascii="Calibri" w:hAnsi="Calibri" w:cs="Calibri"/>
          <w:sz w:val="21"/>
          <w:szCs w:val="21"/>
        </w:rPr>
        <w:t xml:space="preserve">   </w:t>
      </w:r>
      <w:r>
        <w:rPr>
          <w:rFonts w:hint="default" w:ascii="Calibri" w:hAnsi="Calibri" w:cs="Calibri"/>
          <w:sz w:val="21"/>
          <w:szCs w:val="21"/>
          <w:lang w:val="pt-BR"/>
        </w:rPr>
        <w:tab/>
      </w:r>
      <w:r>
        <w:rPr>
          <w:rFonts w:hint="default" w:ascii="Calibri" w:hAnsi="Calibri" w:cs="Calibri"/>
          <w:sz w:val="21"/>
          <w:szCs w:val="21"/>
        </w:rPr>
        <w:t xml:space="preserve">  a)  cônjuge(s), companheiro(s)  ou  tenha(m) parentesco   em linha reta, colateral ou por   afinidade, até  o terceiro grau, nem   vínculos de natureza  técnica, comercial,  </w:t>
      </w:r>
      <w:r>
        <w:rPr>
          <w:rFonts w:hint="default" w:ascii="Calibri" w:hAnsi="Calibri" w:cs="Calibri"/>
          <w:sz w:val="21"/>
          <w:szCs w:val="21"/>
          <w:lang w:val="pt-BR"/>
        </w:rPr>
        <w:t>econômica</w:t>
      </w:r>
      <w:r>
        <w:rPr>
          <w:rFonts w:hint="default" w:ascii="Calibri" w:hAnsi="Calibri" w:cs="Calibri"/>
          <w:sz w:val="21"/>
          <w:szCs w:val="21"/>
        </w:rPr>
        <w:t>, financeira, trabalhista ou civil, com agentes ocupantes de cargos de   direção, chefia e assessoramento  vinculados direta ou  indiretamente  às  unidades situadas na linha hierárquica da área encarregada  da licitação, ou agentes que   tenham exercido  atribuições admin</w:t>
      </w:r>
      <w:r>
        <w:rPr>
          <w:rFonts w:hint="default" w:ascii="Calibri" w:hAnsi="Calibri" w:cs="Calibri"/>
          <w:sz w:val="21"/>
          <w:szCs w:val="21"/>
          <w:lang w:val="pt-BR"/>
        </w:rPr>
        <w:t>i</w:t>
      </w:r>
      <w:r>
        <w:rPr>
          <w:rFonts w:hint="default" w:ascii="Calibri" w:hAnsi="Calibri" w:cs="Calibri"/>
          <w:sz w:val="21"/>
          <w:szCs w:val="21"/>
        </w:rPr>
        <w:t xml:space="preserve">strativas no  presente processo,  nos  termos  da  Legislação vigente; </w:t>
      </w:r>
    </w:p>
    <w:p w14:paraId="64076DE4">
      <w:pPr>
        <w:keepNext w:val="0"/>
        <w:keepLines w:val="0"/>
        <w:pageBreakBefore w:val="0"/>
        <w:widowControl/>
        <w:kinsoku/>
        <w:wordWrap/>
        <w:overflowPunct/>
        <w:topLinePunct w:val="0"/>
        <w:autoSpaceDE/>
        <w:autoSpaceDN/>
        <w:bidi w:val="0"/>
        <w:adjustRightInd/>
        <w:snapToGrid/>
        <w:jc w:val="both"/>
        <w:textAlignment w:val="auto"/>
        <w:rPr>
          <w:rFonts w:hint="default" w:ascii="Calibri" w:hAnsi="Calibri" w:cs="Calibri"/>
          <w:sz w:val="21"/>
          <w:szCs w:val="21"/>
        </w:rPr>
      </w:pPr>
    </w:p>
    <w:p w14:paraId="5D6139A8">
      <w:pPr>
        <w:keepNext w:val="0"/>
        <w:keepLines w:val="0"/>
        <w:pageBreakBefore w:val="0"/>
        <w:widowControl/>
        <w:kinsoku/>
        <w:wordWrap/>
        <w:overflowPunct/>
        <w:topLinePunct w:val="0"/>
        <w:autoSpaceDE/>
        <w:autoSpaceDN/>
        <w:bidi w:val="0"/>
        <w:adjustRightInd/>
        <w:snapToGrid/>
        <w:jc w:val="both"/>
        <w:textAlignment w:val="auto"/>
        <w:rPr>
          <w:rFonts w:hint="default" w:ascii="Calibri" w:hAnsi="Calibri" w:cs="Calibri"/>
          <w:sz w:val="21"/>
          <w:szCs w:val="21"/>
        </w:rPr>
      </w:pPr>
      <w:r>
        <w:rPr>
          <w:rFonts w:hint="default" w:ascii="Calibri" w:hAnsi="Calibri" w:cs="Calibri"/>
          <w:sz w:val="21"/>
          <w:szCs w:val="21"/>
        </w:rPr>
        <w:t xml:space="preserve">está ciente da vedação: </w:t>
      </w:r>
    </w:p>
    <w:p w14:paraId="10B3EC42">
      <w:pPr>
        <w:keepNext w:val="0"/>
        <w:keepLines w:val="0"/>
        <w:pageBreakBefore w:val="0"/>
        <w:widowControl/>
        <w:kinsoku/>
        <w:wordWrap/>
        <w:overflowPunct/>
        <w:topLinePunct w:val="0"/>
        <w:autoSpaceDE/>
        <w:autoSpaceDN/>
        <w:bidi w:val="0"/>
        <w:adjustRightInd/>
        <w:snapToGrid/>
        <w:jc w:val="both"/>
        <w:textAlignment w:val="auto"/>
        <w:rPr>
          <w:rFonts w:hint="default" w:ascii="Calibri" w:hAnsi="Calibri" w:cs="Calibri"/>
          <w:sz w:val="21"/>
          <w:szCs w:val="21"/>
        </w:rPr>
      </w:pPr>
      <w:r>
        <w:rPr>
          <w:rFonts w:hint="default" w:ascii="Calibri" w:hAnsi="Calibri" w:cs="Calibri"/>
          <w:sz w:val="21"/>
          <w:szCs w:val="21"/>
        </w:rPr>
        <w:t xml:space="preserve">     </w:t>
      </w:r>
      <w:r>
        <w:rPr>
          <w:rFonts w:hint="default" w:ascii="Calibri" w:hAnsi="Calibri" w:cs="Calibri"/>
          <w:sz w:val="21"/>
          <w:szCs w:val="21"/>
          <w:lang w:val="pt-BR"/>
        </w:rPr>
        <w:tab/>
      </w:r>
      <w:r>
        <w:rPr>
          <w:rFonts w:hint="default" w:ascii="Calibri" w:hAnsi="Calibri" w:cs="Calibri"/>
          <w:sz w:val="21"/>
          <w:szCs w:val="21"/>
        </w:rPr>
        <w:t xml:space="preserve">a)  da subcontratação, quando </w:t>
      </w:r>
      <w:r>
        <w:rPr>
          <w:rFonts w:hint="default" w:ascii="Calibri" w:hAnsi="Calibri" w:cs="Calibri"/>
          <w:sz w:val="21"/>
          <w:szCs w:val="21"/>
          <w:lang w:val="pt-BR"/>
        </w:rPr>
        <w:t>E SE</w:t>
      </w:r>
      <w:r>
        <w:rPr>
          <w:rFonts w:hint="default" w:ascii="Calibri" w:hAnsi="Calibri" w:cs="Calibri"/>
          <w:sz w:val="21"/>
          <w:szCs w:val="21"/>
        </w:rPr>
        <w:t xml:space="preserve"> autorizada pelo  CONTRATANTE,  de pessoa </w:t>
      </w:r>
      <w:r>
        <w:rPr>
          <w:rFonts w:hint="default" w:ascii="Calibri" w:hAnsi="Calibri" w:cs="Calibri"/>
          <w:sz w:val="21"/>
          <w:szCs w:val="21"/>
          <w:lang w:val="pt-BR"/>
        </w:rPr>
        <w:t>física</w:t>
      </w:r>
      <w:r>
        <w:rPr>
          <w:rFonts w:hint="default" w:ascii="Calibri" w:hAnsi="Calibri" w:cs="Calibri"/>
          <w:sz w:val="21"/>
          <w:szCs w:val="21"/>
        </w:rPr>
        <w:t xml:space="preserve"> ou jurídica se aquela ou os dirigentes desta</w:t>
      </w:r>
      <w:r>
        <w:rPr>
          <w:rFonts w:hint="default" w:ascii="Calibri" w:hAnsi="Calibri" w:cs="Calibri"/>
          <w:sz w:val="21"/>
          <w:szCs w:val="21"/>
          <w:lang w:val="pt-BR"/>
        </w:rPr>
        <w:t>,</w:t>
      </w:r>
      <w:r>
        <w:rPr>
          <w:rFonts w:hint="default" w:ascii="Calibri" w:hAnsi="Calibri" w:cs="Calibri"/>
          <w:sz w:val="21"/>
          <w:szCs w:val="21"/>
        </w:rPr>
        <w:t xml:space="preserve"> mantiverem vinculo de natureza técnica, comercial, econômica, financeira, trabalhista ou civil com agente no exercício de atividades administrativas na licitação ou com agente ocupante de cargo de direção, chefia ou   assessoramento vinculado  direta  ou  indiretamente  a  unidade  situada  na  linha hierárquica da </w:t>
      </w:r>
      <w:r>
        <w:rPr>
          <w:rFonts w:hint="default" w:ascii="Calibri" w:hAnsi="Calibri" w:cs="Calibri"/>
          <w:sz w:val="21"/>
          <w:szCs w:val="21"/>
          <w:lang w:val="pt-BR"/>
        </w:rPr>
        <w:t>á</w:t>
      </w:r>
      <w:r>
        <w:rPr>
          <w:rFonts w:hint="default" w:ascii="Calibri" w:hAnsi="Calibri" w:cs="Calibri"/>
          <w:sz w:val="21"/>
          <w:szCs w:val="21"/>
        </w:rPr>
        <w:t xml:space="preserve">rea encarregada da licitação, ou se deles forem companheiro ou parente em linha reta, colateral ou por afinidade até o terceiro grau inclusive; e </w:t>
      </w:r>
    </w:p>
    <w:p w14:paraId="67302853">
      <w:pPr>
        <w:pStyle w:val="139"/>
        <w:spacing w:line="300" w:lineRule="atLeast"/>
        <w:ind w:left="648" w:hanging="648"/>
        <w:jc w:val="both"/>
        <w:rPr>
          <w:rFonts w:hint="default" w:ascii="Calibri" w:hAnsi="Calibri" w:cs="Calibri"/>
          <w:sz w:val="21"/>
          <w:szCs w:val="21"/>
        </w:rPr>
      </w:pPr>
    </w:p>
    <w:p w14:paraId="687015C0">
      <w:pPr>
        <w:pStyle w:val="139"/>
        <w:spacing w:line="300" w:lineRule="atLeast"/>
        <w:ind w:left="8" w:leftChars="0" w:hanging="8" w:firstLineChars="0"/>
        <w:jc w:val="both"/>
        <w:rPr>
          <w:rFonts w:hint="default" w:ascii="Calibri" w:hAnsi="Calibri" w:cs="Calibri"/>
          <w:sz w:val="21"/>
          <w:szCs w:val="21"/>
        </w:rPr>
      </w:pPr>
      <w:r>
        <w:rPr>
          <w:rFonts w:hint="default" w:ascii="Calibri" w:hAnsi="Calibri" w:cs="Calibri"/>
          <w:sz w:val="21"/>
          <w:szCs w:val="21"/>
        </w:rPr>
        <w:t xml:space="preserve">     2. são verdadeiras as informações prestadas  no presente documento,  sob pena de responsabilidade civil, administrativa e penal. </w:t>
      </w:r>
    </w:p>
    <w:p w14:paraId="17A46885">
      <w:pPr>
        <w:pStyle w:val="139"/>
        <w:spacing w:line="300" w:lineRule="atLeast"/>
        <w:ind w:left="648" w:hanging="648"/>
        <w:jc w:val="both"/>
        <w:rPr>
          <w:rFonts w:hint="default" w:ascii="Calibri" w:hAnsi="Calibri" w:cs="Calibri"/>
          <w:sz w:val="21"/>
          <w:szCs w:val="21"/>
        </w:rPr>
      </w:pPr>
    </w:p>
    <w:p w14:paraId="07C9D1D1">
      <w:pPr>
        <w:pStyle w:val="139"/>
        <w:spacing w:line="300" w:lineRule="atLeast"/>
        <w:ind w:left="648" w:hanging="648"/>
        <w:jc w:val="center"/>
        <w:rPr>
          <w:rFonts w:hint="default" w:ascii="Calibri" w:hAnsi="Calibri" w:cs="Calibri"/>
          <w:sz w:val="21"/>
          <w:szCs w:val="21"/>
        </w:rPr>
      </w:pPr>
      <w:r>
        <w:rPr>
          <w:rFonts w:hint="default" w:ascii="Calibri" w:hAnsi="Calibri" w:cs="Calibri"/>
          <w:sz w:val="21"/>
          <w:szCs w:val="21"/>
        </w:rPr>
        <w:t>Local, data, mes, ano.</w:t>
      </w:r>
    </w:p>
    <w:p w14:paraId="11C67FE2">
      <w:pPr>
        <w:pStyle w:val="139"/>
        <w:spacing w:line="300" w:lineRule="atLeast"/>
        <w:ind w:left="648" w:hanging="648"/>
        <w:jc w:val="both"/>
        <w:rPr>
          <w:rFonts w:hint="default" w:ascii="Calibri" w:hAnsi="Calibri" w:cs="Calibri"/>
          <w:sz w:val="21"/>
          <w:szCs w:val="21"/>
        </w:rPr>
      </w:pPr>
    </w:p>
    <w:p w14:paraId="78DC07BF">
      <w:pPr>
        <w:pStyle w:val="139"/>
        <w:spacing w:line="300" w:lineRule="atLeast"/>
        <w:ind w:left="648" w:hanging="648"/>
        <w:jc w:val="both"/>
        <w:rPr>
          <w:rFonts w:hint="default" w:ascii="Calibri" w:hAnsi="Calibri" w:cs="Calibri"/>
          <w:sz w:val="21"/>
          <w:szCs w:val="21"/>
        </w:rPr>
      </w:pPr>
      <w:r>
        <w:rPr>
          <w:rFonts w:hint="default" w:ascii="Calibri" w:hAnsi="Calibri" w:cs="Calibri"/>
          <w:sz w:val="21"/>
          <w:szCs w:val="21"/>
        </w:rPr>
        <mc:AlternateContent>
          <mc:Choice Requires="wps">
            <w:drawing>
              <wp:anchor distT="0" distB="0" distL="114300" distR="114300" simplePos="0" relativeHeight="251667456" behindDoc="1" locked="0" layoutInCell="1" allowOverlap="1">
                <wp:simplePos x="0" y="0"/>
                <wp:positionH relativeFrom="column">
                  <wp:posOffset>-222885</wp:posOffset>
                </wp:positionH>
                <wp:positionV relativeFrom="paragraph">
                  <wp:posOffset>142240</wp:posOffset>
                </wp:positionV>
                <wp:extent cx="6273800" cy="2726690"/>
                <wp:effectExtent l="4445" t="4445" r="8255" b="12065"/>
                <wp:wrapNone/>
                <wp:docPr id="19" name="Retângulo 19"/>
                <wp:cNvGraphicFramePr/>
                <a:graphic xmlns:a="http://schemas.openxmlformats.org/drawingml/2006/main">
                  <a:graphicData uri="http://schemas.microsoft.com/office/word/2010/wordprocessingShape">
                    <wps:wsp>
                      <wps:cNvSpPr/>
                      <wps:spPr>
                        <a:xfrm>
                          <a:off x="0" y="0"/>
                          <a:ext cx="6273800" cy="2726690"/>
                        </a:xfrm>
                        <a:prstGeom prst="rect">
                          <a:avLst/>
                        </a:prstGeom>
                        <a:solidFill>
                          <a:srgbClr val="F2B1BC"/>
                        </a:solidFill>
                        <a:ln w="9525" cap="flat" cmpd="sng">
                          <a:solidFill>
                            <a:srgbClr val="000000"/>
                          </a:solidFill>
                          <a:prstDash val="solid"/>
                          <a:miter/>
                          <a:headEnd type="none" w="med" len="med"/>
                          <a:tailEnd type="none" w="med" len="med"/>
                        </a:ln>
                      </wps:spPr>
                      <wps:txbx>
                        <w:txbxContent>
                          <w:p w14:paraId="7F9A0CCE"/>
                        </w:txbxContent>
                      </wps:txbx>
                      <wps:bodyPr upright="1"/>
                    </wps:wsp>
                  </a:graphicData>
                </a:graphic>
              </wp:anchor>
            </w:drawing>
          </mc:Choice>
          <mc:Fallback>
            <w:pict>
              <v:rect id="_x0000_s1026" o:spid="_x0000_s1026" o:spt="1" style="position:absolute;left:0pt;margin-left:-17.55pt;margin-top:11.2pt;height:214.7pt;width:494pt;z-index:-251649024;mso-width-relative:page;mso-height-relative:page;" fillcolor="#F2B1BC" filled="t" stroked="t" coordsize="21600,21600" o:gfxdata="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En+Pr2wAAAAoBAAAPAAAAAAAAAAEAIAAAACIA&#10;AABkcnMvZG93bnJldi54bWxQSwECFAAUAAAACACHTuJAUD/h8QYCAAAwBAAADgAAAAAAAAABACAA&#10;AAAqAQAAZHJzL2Uyb0RvYy54bWxQSwUGAAAAAAYABgBZAQAAogUAAAAA&#10;">
                <v:fill on="t" focussize="0,0"/>
                <v:stroke color="#000000" joinstyle="miter"/>
                <v:imagedata o:title=""/>
                <o:lock v:ext="edit" aspectratio="f"/>
                <v:textbox>
                  <w:txbxContent>
                    <w:p w14:paraId="7F9A0CCE"/>
                  </w:txbxContent>
                </v:textbox>
              </v:rect>
            </w:pict>
          </mc:Fallback>
        </mc:AlternateContent>
      </w:r>
    </w:p>
    <w:p w14:paraId="68666E45">
      <w:pPr>
        <w:numPr>
          <w:ilvl w:val="0"/>
          <w:numId w:val="13"/>
        </w:numPr>
        <w:bidi w:val="0"/>
        <w:ind w:left="648" w:leftChars="0" w:hanging="648" w:firstLineChars="0"/>
        <w:jc w:val="both"/>
        <w:rPr>
          <w:rFonts w:hint="default" w:ascii="Calibri" w:hAnsi="Calibri" w:cs="Calibri"/>
          <w:b/>
          <w:bCs/>
          <w:sz w:val="21"/>
          <w:szCs w:val="21"/>
        </w:rPr>
      </w:pPr>
      <w:r>
        <w:rPr>
          <w:rFonts w:hint="default" w:ascii="Calibri" w:hAnsi="Calibri" w:cs="Calibri"/>
          <w:b/>
          <w:bCs/>
          <w:sz w:val="21"/>
          <w:szCs w:val="21"/>
        </w:rPr>
        <w:t>DECLARAÇÃO DE CUMPRIMENTO DA LEI GERAL DE PROTEÇÃO   DE DADOS  - LEI</w:t>
      </w:r>
      <w:r>
        <w:rPr>
          <w:rFonts w:hint="default" w:ascii="Calibri" w:hAnsi="Calibri" w:cs="Calibri"/>
          <w:b/>
          <w:bCs/>
          <w:sz w:val="21"/>
          <w:szCs w:val="21"/>
          <w:lang w:val="pt-BR"/>
        </w:rPr>
        <w:t xml:space="preserve"> </w:t>
      </w:r>
      <w:r>
        <w:rPr>
          <w:rFonts w:hint="default" w:ascii="Calibri" w:hAnsi="Calibri" w:cs="Calibri"/>
          <w:b/>
          <w:bCs/>
          <w:sz w:val="21"/>
          <w:szCs w:val="21"/>
        </w:rPr>
        <w:t xml:space="preserve">N. 13.709/2018 </w:t>
      </w:r>
    </w:p>
    <w:p w14:paraId="4A519D4C">
      <w:pPr>
        <w:bidi w:val="0"/>
        <w:jc w:val="both"/>
        <w:rPr>
          <w:rFonts w:hint="default" w:ascii="Calibri" w:hAnsi="Calibri" w:cs="Calibri"/>
          <w:sz w:val="21"/>
          <w:szCs w:val="21"/>
        </w:rPr>
      </w:pPr>
    </w:p>
    <w:p w14:paraId="5A802296">
      <w:pPr>
        <w:bidi w:val="0"/>
        <w:jc w:val="both"/>
        <w:rPr>
          <w:rFonts w:hint="default" w:ascii="Calibri" w:hAnsi="Calibri" w:cs="Calibri"/>
          <w:sz w:val="21"/>
          <w:szCs w:val="21"/>
        </w:rPr>
      </w:pPr>
    </w:p>
    <w:p w14:paraId="7CBACAAD">
      <w:pPr>
        <w:bidi w:val="0"/>
        <w:jc w:val="both"/>
        <w:rPr>
          <w:rFonts w:hint="default" w:ascii="Calibri" w:hAnsi="Calibri" w:cs="Calibri"/>
          <w:sz w:val="21"/>
          <w:szCs w:val="21"/>
          <w:lang w:val="pt-BR"/>
        </w:rPr>
      </w:pPr>
      <w:r>
        <w:rPr>
          <w:rFonts w:hint="default" w:ascii="Calibri" w:hAnsi="Calibri" w:cs="Calibri"/>
          <w:sz w:val="21"/>
          <w:szCs w:val="21"/>
        </w:rPr>
        <w:t xml:space="preserve">  Edital [.] n° </w:t>
      </w:r>
      <w:r>
        <w:rPr>
          <w:rFonts w:hint="default" w:ascii="Calibri" w:hAnsi="Calibri" w:cs="Calibri"/>
          <w:sz w:val="21"/>
          <w:szCs w:val="21"/>
          <w:lang w:val="pt-BR"/>
        </w:rPr>
        <w:t>005/2025</w:t>
      </w:r>
    </w:p>
    <w:p w14:paraId="370976B2">
      <w:pPr>
        <w:bidi w:val="0"/>
        <w:jc w:val="both"/>
        <w:rPr>
          <w:rFonts w:hint="default" w:ascii="Calibri" w:hAnsi="Calibri" w:cs="Calibri"/>
          <w:sz w:val="21"/>
          <w:szCs w:val="21"/>
        </w:rPr>
      </w:pPr>
    </w:p>
    <w:p w14:paraId="764E4BBF">
      <w:pPr>
        <w:bidi w:val="0"/>
        <w:jc w:val="both"/>
        <w:rPr>
          <w:rFonts w:hint="default" w:ascii="Calibri" w:hAnsi="Calibri" w:cs="Calibri"/>
          <w:sz w:val="21"/>
          <w:szCs w:val="21"/>
        </w:rPr>
      </w:pPr>
    </w:p>
    <w:p w14:paraId="1EAA3176">
      <w:pPr>
        <w:numPr>
          <w:ilvl w:val="0"/>
          <w:numId w:val="14"/>
        </w:numPr>
        <w:tabs>
          <w:tab w:val="left" w:pos="480"/>
          <w:tab w:val="clear" w:pos="425"/>
        </w:tabs>
        <w:bidi w:val="0"/>
        <w:ind w:left="425" w:leftChars="0" w:hanging="425" w:firstLineChars="0"/>
        <w:jc w:val="both"/>
        <w:rPr>
          <w:rFonts w:hint="default" w:ascii="Calibri" w:hAnsi="Calibri" w:cs="Calibri"/>
          <w:sz w:val="21"/>
          <w:szCs w:val="21"/>
        </w:rPr>
      </w:pPr>
      <w:r>
        <w:rPr>
          <w:rFonts w:hint="default" w:ascii="Calibri" w:hAnsi="Calibri" w:cs="Calibri"/>
          <w:sz w:val="21"/>
          <w:szCs w:val="21"/>
          <w:lang w:val="pt-BR"/>
        </w:rPr>
        <w:t>É</w:t>
      </w:r>
      <w:r>
        <w:rPr>
          <w:rFonts w:hint="default" w:ascii="Calibri" w:hAnsi="Calibri" w:cs="Calibri"/>
          <w:sz w:val="21"/>
          <w:szCs w:val="21"/>
        </w:rPr>
        <w:t>, vedada às  partes a utilização de  todo e  qualquer  dado  pessoal repassado em  decorrência da execução contratual para finalidade distinta daquela do objeto da contratação, sob</w:t>
      </w:r>
      <w:r>
        <w:rPr>
          <w:rFonts w:hint="default" w:ascii="Calibri" w:hAnsi="Calibri" w:cs="Calibri"/>
          <w:sz w:val="21"/>
          <w:szCs w:val="21"/>
          <w:lang w:val="pt-BR"/>
        </w:rPr>
        <w:t xml:space="preserve"> </w:t>
      </w:r>
      <w:r>
        <w:rPr>
          <w:rFonts w:hint="default" w:ascii="Calibri" w:hAnsi="Calibri" w:cs="Calibri"/>
          <w:sz w:val="21"/>
          <w:szCs w:val="21"/>
        </w:rPr>
        <w:t xml:space="preserve">pena de responsabilização administrativa, civil e criminal. </w:t>
      </w:r>
    </w:p>
    <w:p w14:paraId="35D211F2">
      <w:pPr>
        <w:numPr>
          <w:ilvl w:val="0"/>
          <w:numId w:val="0"/>
        </w:numPr>
        <w:tabs>
          <w:tab w:val="left" w:pos="480"/>
        </w:tabs>
        <w:bidi w:val="0"/>
        <w:ind w:leftChars="0"/>
        <w:jc w:val="both"/>
        <w:rPr>
          <w:rFonts w:hint="default" w:ascii="Calibri" w:hAnsi="Calibri" w:cs="Calibri"/>
          <w:sz w:val="21"/>
          <w:szCs w:val="21"/>
        </w:rPr>
      </w:pPr>
    </w:p>
    <w:p w14:paraId="60B26982">
      <w:pPr>
        <w:numPr>
          <w:ilvl w:val="0"/>
          <w:numId w:val="14"/>
        </w:numPr>
        <w:tabs>
          <w:tab w:val="clear" w:pos="425"/>
        </w:tabs>
        <w:bidi w:val="0"/>
        <w:ind w:left="425" w:leftChars="0" w:hanging="425" w:firstLineChars="0"/>
        <w:jc w:val="both"/>
        <w:rPr>
          <w:rFonts w:hint="default" w:ascii="Calibri" w:hAnsi="Calibri" w:cs="Calibri"/>
          <w:sz w:val="21"/>
          <w:szCs w:val="21"/>
        </w:rPr>
      </w:pPr>
      <w:r>
        <w:rPr>
          <w:rFonts w:hint="default" w:ascii="Calibri" w:hAnsi="Calibri" w:cs="Calibri"/>
          <w:sz w:val="21"/>
          <w:szCs w:val="21"/>
        </w:rPr>
        <w:t>As partes se comprometem  a manter  sigilo e confidencialidade de todas</w:t>
      </w:r>
      <w:r>
        <w:rPr>
          <w:rFonts w:hint="default" w:ascii="Calibri" w:hAnsi="Calibri" w:cs="Calibri"/>
          <w:sz w:val="21"/>
          <w:szCs w:val="21"/>
          <w:lang w:val="pt-BR"/>
        </w:rPr>
        <w:t xml:space="preserve"> </w:t>
      </w:r>
      <w:r>
        <w:rPr>
          <w:rFonts w:hint="default" w:ascii="Calibri" w:hAnsi="Calibri" w:cs="Calibri"/>
          <w:sz w:val="21"/>
          <w:szCs w:val="21"/>
        </w:rPr>
        <w:t>as</w:t>
      </w:r>
      <w:r>
        <w:rPr>
          <w:rFonts w:hint="default" w:ascii="Calibri" w:hAnsi="Calibri" w:cs="Calibri"/>
          <w:sz w:val="21"/>
          <w:szCs w:val="21"/>
          <w:lang w:val="pt-BR"/>
        </w:rPr>
        <w:t xml:space="preserve"> </w:t>
      </w:r>
      <w:r>
        <w:rPr>
          <w:rFonts w:hint="default" w:ascii="Calibri" w:hAnsi="Calibri" w:cs="Calibri"/>
          <w:sz w:val="21"/>
          <w:szCs w:val="21"/>
        </w:rPr>
        <w:t>informações —  em especial os dados pessoais e os dados pessoais sensíveis — repassadas em   decorrência  da execução  contratual, em  consonância  com   o disposto  na  Lei n. 13.709/2018, sendo vedado  o repasse das informações a outras empresas ou pessoas, salvo aquelas  decorrentes de  obrigações  legais   ou  para  viabilizar o   cumprimento   do edital</w:t>
      </w:r>
      <w:r>
        <w:rPr>
          <w:rFonts w:hint="default" w:ascii="Calibri" w:hAnsi="Calibri" w:cs="Calibri"/>
          <w:sz w:val="21"/>
          <w:szCs w:val="21"/>
          <w:lang w:val="pt-BR"/>
        </w:rPr>
        <w:t xml:space="preserve"> /</w:t>
      </w:r>
      <w:r>
        <w:rPr>
          <w:rFonts w:hint="default" w:ascii="Calibri" w:hAnsi="Calibri" w:cs="Calibri"/>
          <w:sz w:val="21"/>
          <w:szCs w:val="21"/>
        </w:rPr>
        <w:t xml:space="preserve">instrumento contratual. </w:t>
      </w:r>
    </w:p>
    <w:p w14:paraId="627C79CF">
      <w:pPr>
        <w:numPr>
          <w:ilvl w:val="0"/>
          <w:numId w:val="0"/>
        </w:numPr>
        <w:bidi w:val="0"/>
        <w:ind w:leftChars="0"/>
        <w:jc w:val="both"/>
        <w:rPr>
          <w:rFonts w:hint="default" w:ascii="Calibri" w:hAnsi="Calibri" w:cs="Calibri"/>
          <w:sz w:val="21"/>
          <w:szCs w:val="21"/>
        </w:rPr>
      </w:pPr>
      <w:r>
        <w:rPr>
          <w:rFonts w:hint="default" w:ascii="Calibri" w:hAnsi="Calibri" w:cs="Calibri"/>
          <w:sz w:val="21"/>
          <w:szCs w:val="21"/>
        </w:rPr>
        <mc:AlternateContent>
          <mc:Choice Requires="wps">
            <w:drawing>
              <wp:anchor distT="0" distB="0" distL="114300" distR="114300" simplePos="0" relativeHeight="251668480" behindDoc="1" locked="0" layoutInCell="1" allowOverlap="1">
                <wp:simplePos x="0" y="0"/>
                <wp:positionH relativeFrom="column">
                  <wp:posOffset>-104775</wp:posOffset>
                </wp:positionH>
                <wp:positionV relativeFrom="paragraph">
                  <wp:posOffset>24765</wp:posOffset>
                </wp:positionV>
                <wp:extent cx="6143625" cy="3762375"/>
                <wp:effectExtent l="4445" t="4445" r="5080" b="5080"/>
                <wp:wrapNone/>
                <wp:docPr id="26" name="Retângulo 26"/>
                <wp:cNvGraphicFramePr/>
                <a:graphic xmlns:a="http://schemas.openxmlformats.org/drawingml/2006/main">
                  <a:graphicData uri="http://schemas.microsoft.com/office/word/2010/wordprocessingShape">
                    <wps:wsp>
                      <wps:cNvSpPr/>
                      <wps:spPr>
                        <a:xfrm>
                          <a:off x="0" y="0"/>
                          <a:ext cx="6143625" cy="3762375"/>
                        </a:xfrm>
                        <a:prstGeom prst="rect">
                          <a:avLst/>
                        </a:prstGeom>
                        <a:solidFill>
                          <a:srgbClr val="F2B1BC"/>
                        </a:solidFill>
                        <a:ln w="9525" cap="flat" cmpd="sng">
                          <a:solidFill>
                            <a:srgbClr val="000000"/>
                          </a:solidFill>
                          <a:prstDash val="solid"/>
                          <a:miter/>
                          <a:headEnd type="none" w="med" len="med"/>
                          <a:tailEnd type="none" w="med" len="med"/>
                        </a:ln>
                      </wps:spPr>
                      <wps:txbx>
                        <w:txbxContent>
                          <w:p w14:paraId="19357A9C"/>
                        </w:txbxContent>
                      </wps:txbx>
                      <wps:bodyPr upright="1"/>
                    </wps:wsp>
                  </a:graphicData>
                </a:graphic>
              </wp:anchor>
            </w:drawing>
          </mc:Choice>
          <mc:Fallback>
            <w:pict>
              <v:rect id="_x0000_s1026" o:spid="_x0000_s1026" o:spt="1" style="position:absolute;left:0pt;margin-left:-8.25pt;margin-top:1.95pt;height:296.25pt;width:483.75pt;z-index:-251648000;mso-width-relative:page;mso-height-relative:page;" fillcolor="#F2B1BC" filled="t" stroked="t" coordsize="21600,21600" o:gfxdata="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2IiEotoAAAAJAQAADwAAAAAAAAABACAAAAAiAAAAZHJz&#10;L2Rvd25yZXYueG1sUEsBAhQAFAAAAAgAh07iQM6pDj0CAgAAMAQAAA4AAAAAAAAAAQAgAAAAKQEA&#10;AGRycy9lMm9Eb2MueG1sUEsFBgAAAAAGAAYAWQEAAJ0FAAAAAA==&#10;">
                <v:fill on="t" focussize="0,0"/>
                <v:stroke color="#000000" joinstyle="miter"/>
                <v:imagedata o:title=""/>
                <o:lock v:ext="edit" aspectratio="f"/>
                <v:textbox>
                  <w:txbxContent>
                    <w:p w14:paraId="19357A9C"/>
                  </w:txbxContent>
                </v:textbox>
              </v:rect>
            </w:pict>
          </mc:Fallback>
        </mc:AlternateContent>
      </w:r>
    </w:p>
    <w:p w14:paraId="6D85A115">
      <w:pPr>
        <w:numPr>
          <w:ilvl w:val="0"/>
          <w:numId w:val="14"/>
        </w:numPr>
        <w:tabs>
          <w:tab w:val="clear" w:pos="425"/>
        </w:tabs>
        <w:bidi w:val="0"/>
        <w:ind w:left="425" w:leftChars="0" w:hanging="425" w:firstLineChars="0"/>
        <w:jc w:val="both"/>
        <w:rPr>
          <w:rFonts w:hint="default" w:ascii="Calibri" w:hAnsi="Calibri" w:cs="Calibri"/>
          <w:sz w:val="21"/>
          <w:szCs w:val="21"/>
        </w:rPr>
      </w:pPr>
      <w:r>
        <w:rPr>
          <w:rFonts w:hint="default" w:ascii="Calibri" w:hAnsi="Calibri" w:cs="Calibri"/>
          <w:sz w:val="21"/>
          <w:szCs w:val="21"/>
        </w:rPr>
        <w:t xml:space="preserve">As partes responderão administrativa e judicialmente,  caso </w:t>
      </w:r>
      <w:r>
        <w:rPr>
          <w:rFonts w:hint="default" w:ascii="Calibri" w:hAnsi="Calibri" w:cs="Calibri"/>
          <w:sz w:val="21"/>
          <w:szCs w:val="21"/>
          <w:lang w:val="pt-BR"/>
        </w:rPr>
        <w:t xml:space="preserve"> </w:t>
      </w:r>
      <w:r>
        <w:rPr>
          <w:rFonts w:hint="default" w:ascii="Calibri" w:hAnsi="Calibri" w:cs="Calibri"/>
          <w:sz w:val="21"/>
          <w:szCs w:val="21"/>
        </w:rPr>
        <w:t>causem danos patrimoniais, morais, individual ou coletivo,   aos titulares de dados  pessoais, repassados em</w:t>
      </w:r>
      <w:r>
        <w:rPr>
          <w:rFonts w:hint="default" w:ascii="Calibri" w:hAnsi="Calibri" w:cs="Calibri"/>
          <w:sz w:val="21"/>
          <w:szCs w:val="21"/>
          <w:lang w:val="pt-BR"/>
        </w:rPr>
        <w:t xml:space="preserve"> </w:t>
      </w:r>
      <w:r>
        <w:rPr>
          <w:rFonts w:hint="default" w:ascii="Calibri" w:hAnsi="Calibri" w:cs="Calibri"/>
          <w:sz w:val="21"/>
          <w:szCs w:val="21"/>
        </w:rPr>
        <w:t xml:space="preserve">decorrência da execução contratual, por inobservância à LGPD. </w:t>
      </w:r>
    </w:p>
    <w:p w14:paraId="276DCE1B">
      <w:pPr>
        <w:numPr>
          <w:ilvl w:val="0"/>
          <w:numId w:val="0"/>
        </w:numPr>
        <w:bidi w:val="0"/>
        <w:ind w:leftChars="0"/>
        <w:jc w:val="both"/>
        <w:rPr>
          <w:rFonts w:hint="default" w:ascii="Calibri" w:hAnsi="Calibri" w:cs="Calibri"/>
          <w:sz w:val="21"/>
          <w:szCs w:val="21"/>
        </w:rPr>
      </w:pPr>
    </w:p>
    <w:p w14:paraId="1579E557">
      <w:pPr>
        <w:numPr>
          <w:ilvl w:val="0"/>
          <w:numId w:val="14"/>
        </w:numPr>
        <w:tabs>
          <w:tab w:val="clear" w:pos="425"/>
        </w:tabs>
        <w:bidi w:val="0"/>
        <w:ind w:left="425" w:leftChars="0" w:hanging="425" w:firstLineChars="0"/>
        <w:jc w:val="both"/>
        <w:rPr>
          <w:rFonts w:hint="default" w:ascii="Calibri" w:hAnsi="Calibri" w:cs="Calibri"/>
          <w:sz w:val="21"/>
          <w:szCs w:val="21"/>
        </w:rPr>
      </w:pPr>
      <w:r>
        <w:rPr>
          <w:rFonts w:hint="default" w:ascii="Calibri" w:hAnsi="Calibri" w:cs="Calibri"/>
          <w:sz w:val="21"/>
          <w:szCs w:val="21"/>
        </w:rPr>
        <w:t xml:space="preserve">Em  atendimento ao disposto   na Lei n. 13.709/2018 - Lei  Geral  de Proteção de Dados   Pessoais (LGPD),  o  CONTRATANTE, para   a execução  do serviço objeto   deste edital,  terá   acesso   aos  dados   pessoais   dos  representantes   da LICITANTE/CONTRATADA,   tais como:  número do CPF e do RG, endereços eletrônico e residencial e cópia do documento de identificação. </w:t>
      </w:r>
    </w:p>
    <w:p w14:paraId="447D15C8">
      <w:pPr>
        <w:numPr>
          <w:ilvl w:val="0"/>
          <w:numId w:val="0"/>
        </w:numPr>
        <w:bidi w:val="0"/>
        <w:ind w:leftChars="0"/>
        <w:jc w:val="both"/>
        <w:rPr>
          <w:rFonts w:hint="default" w:ascii="Calibri" w:hAnsi="Calibri" w:cs="Calibri"/>
          <w:sz w:val="21"/>
          <w:szCs w:val="21"/>
        </w:rPr>
      </w:pPr>
    </w:p>
    <w:p w14:paraId="5D8FF973">
      <w:pPr>
        <w:numPr>
          <w:ilvl w:val="0"/>
          <w:numId w:val="14"/>
        </w:numPr>
        <w:tabs>
          <w:tab w:val="clear" w:pos="425"/>
        </w:tabs>
        <w:bidi w:val="0"/>
        <w:ind w:left="425" w:leftChars="0" w:hanging="425" w:firstLineChars="0"/>
        <w:jc w:val="both"/>
        <w:rPr>
          <w:rFonts w:hint="default" w:ascii="Calibri" w:hAnsi="Calibri" w:cs="Calibri"/>
          <w:sz w:val="21"/>
          <w:szCs w:val="21"/>
        </w:rPr>
      </w:pPr>
      <w:r>
        <w:rPr>
          <w:rFonts w:hint="default" w:ascii="Calibri" w:hAnsi="Calibri" w:cs="Calibri"/>
          <w:sz w:val="21"/>
          <w:szCs w:val="21"/>
        </w:rPr>
        <w:t>A LICITANTE/CONTRATADA  declara que  tem ciência da existência da Lei Geral  de Proteção de Dados Pessoais   (LGPD) e, se compromete a adequar todos os procedimentos internos ao disposto na legislação, com intuito de proteção  dos  dados pessoais  repassados pelo</w:t>
      </w:r>
      <w:r>
        <w:rPr>
          <w:rFonts w:hint="default" w:ascii="Calibri" w:hAnsi="Calibri" w:cs="Calibri"/>
          <w:sz w:val="21"/>
          <w:szCs w:val="21"/>
          <w:lang w:val="pt-BR"/>
        </w:rPr>
        <w:t xml:space="preserve"> </w:t>
      </w:r>
      <w:r>
        <w:rPr>
          <w:rFonts w:hint="default" w:ascii="Calibri" w:hAnsi="Calibri" w:cs="Calibri"/>
          <w:sz w:val="21"/>
          <w:szCs w:val="21"/>
        </w:rPr>
        <w:t xml:space="preserve">CONTRATANTE. </w:t>
      </w:r>
    </w:p>
    <w:p w14:paraId="49D58FA5">
      <w:pPr>
        <w:numPr>
          <w:ilvl w:val="0"/>
          <w:numId w:val="0"/>
        </w:numPr>
        <w:bidi w:val="0"/>
        <w:ind w:leftChars="0"/>
        <w:jc w:val="both"/>
        <w:rPr>
          <w:rFonts w:hint="default" w:ascii="Calibri" w:hAnsi="Calibri" w:cs="Calibri"/>
          <w:sz w:val="21"/>
          <w:szCs w:val="21"/>
        </w:rPr>
      </w:pPr>
    </w:p>
    <w:p w14:paraId="783563FE">
      <w:pPr>
        <w:numPr>
          <w:ilvl w:val="0"/>
          <w:numId w:val="14"/>
        </w:numPr>
        <w:tabs>
          <w:tab w:val="clear" w:pos="425"/>
        </w:tabs>
        <w:bidi w:val="0"/>
        <w:ind w:left="425" w:leftChars="0" w:hanging="425" w:firstLineChars="0"/>
        <w:jc w:val="both"/>
        <w:rPr>
          <w:rFonts w:hint="default" w:ascii="Calibri" w:hAnsi="Calibri" w:cs="Calibri"/>
          <w:sz w:val="21"/>
          <w:szCs w:val="21"/>
        </w:rPr>
      </w:pPr>
      <w:r>
        <w:rPr>
          <w:rFonts w:hint="default" w:ascii="Calibri" w:hAnsi="Calibri" w:cs="Calibri"/>
          <w:sz w:val="21"/>
          <w:szCs w:val="21"/>
        </w:rPr>
        <w:t xml:space="preserve">A  LICITANTE/CONTRATADA   fica obrigada    a  comunicar   ao CONTRATANTE,    em  até 24 (vinte e quatro) horas, qualquer incidente de acessos não autorizados aos  dados  pessoais, situações acidentais  ou ilícitas de destruição, perda, alteração, comunicação ou qualquer  forma de tratamento  inadequado ou ilícito que possa vir  causar risco ou dano relevante   aos Titulares de Dados  Pessoais apresentando   as informações  descritas   nos incisos  do   § 1°   do art.  48 da    LGPD,   cabendo   ao CONTRATANTE  as demais obrigações de comunicações. </w:t>
      </w:r>
    </w:p>
    <w:p w14:paraId="45CAAEE7">
      <w:pPr>
        <w:bidi w:val="0"/>
        <w:jc w:val="both"/>
        <w:rPr>
          <w:rFonts w:hint="default" w:ascii="Calibri" w:hAnsi="Calibri" w:cs="Calibri"/>
          <w:sz w:val="21"/>
          <w:szCs w:val="21"/>
        </w:rPr>
      </w:pPr>
    </w:p>
    <w:p w14:paraId="4E9654A1">
      <w:pPr>
        <w:bidi w:val="0"/>
        <w:jc w:val="both"/>
        <w:rPr>
          <w:rFonts w:hint="default" w:ascii="Calibri" w:hAnsi="Calibri" w:cs="Calibri"/>
          <w:sz w:val="21"/>
          <w:szCs w:val="21"/>
        </w:rPr>
      </w:pPr>
    </w:p>
    <w:p w14:paraId="24F9A777">
      <w:pPr>
        <w:bidi w:val="0"/>
        <w:jc w:val="center"/>
        <w:rPr>
          <w:rFonts w:hint="default" w:ascii="Calibri" w:hAnsi="Calibri" w:cs="Calibri"/>
          <w:sz w:val="21"/>
          <w:szCs w:val="21"/>
        </w:rPr>
      </w:pPr>
      <w:r>
        <w:rPr>
          <w:rFonts w:hint="default" w:ascii="Calibri" w:hAnsi="Calibri" w:cs="Calibri"/>
          <w:sz w:val="21"/>
          <w:szCs w:val="21"/>
        </w:rPr>
        <w:t>Local, data, mes, ano</w:t>
      </w:r>
    </w:p>
    <w:p w14:paraId="2A4F8BD4">
      <w:pPr>
        <w:bidi w:val="0"/>
        <w:jc w:val="center"/>
        <w:rPr>
          <w:rFonts w:hint="default" w:ascii="Calibri" w:hAnsi="Calibri" w:cs="Calibri"/>
          <w:sz w:val="21"/>
          <w:szCs w:val="21"/>
        </w:rPr>
      </w:pPr>
      <w:r>
        <w:rPr>
          <w:rFonts w:hint="default" w:ascii="Calibri" w:hAnsi="Calibri" w:cs="Calibri"/>
          <w:sz w:val="21"/>
          <w:szCs w:val="21"/>
        </w:rPr>
        <w:t>.</w:t>
      </w:r>
    </w:p>
    <w:p w14:paraId="756D89E0">
      <w:pPr>
        <w:bidi w:val="0"/>
        <w:jc w:val="center"/>
        <w:rPr>
          <w:rFonts w:hint="default" w:ascii="Calibri" w:hAnsi="Calibri" w:cs="Calibri"/>
          <w:sz w:val="21"/>
          <w:szCs w:val="21"/>
        </w:rPr>
      </w:pPr>
    </w:p>
    <w:p w14:paraId="77A7F95D">
      <w:pPr>
        <w:bidi w:val="0"/>
        <w:jc w:val="center"/>
        <w:rPr>
          <w:rFonts w:hint="default" w:ascii="Calibri" w:hAnsi="Calibri" w:cs="Calibri"/>
          <w:sz w:val="21"/>
          <w:szCs w:val="21"/>
        </w:rPr>
      </w:pPr>
      <w:r>
        <w:rPr>
          <w:rFonts w:hint="default" w:ascii="Calibri" w:hAnsi="Calibri" w:cs="Calibri"/>
          <w:sz w:val="21"/>
          <w:szCs w:val="21"/>
        </w:rPr>
        <mc:AlternateContent>
          <mc:Choice Requires="wps">
            <w:drawing>
              <wp:anchor distT="0" distB="0" distL="114300" distR="114300" simplePos="0" relativeHeight="251669504" behindDoc="1" locked="0" layoutInCell="1" allowOverlap="1">
                <wp:simplePos x="0" y="0"/>
                <wp:positionH relativeFrom="column">
                  <wp:posOffset>-104775</wp:posOffset>
                </wp:positionH>
                <wp:positionV relativeFrom="paragraph">
                  <wp:posOffset>54610</wp:posOffset>
                </wp:positionV>
                <wp:extent cx="6155690" cy="2071370"/>
                <wp:effectExtent l="4445" t="4445" r="12065" b="19685"/>
                <wp:wrapNone/>
                <wp:docPr id="27" name="Retângulo 27"/>
                <wp:cNvGraphicFramePr/>
                <a:graphic xmlns:a="http://schemas.openxmlformats.org/drawingml/2006/main">
                  <a:graphicData uri="http://schemas.microsoft.com/office/word/2010/wordprocessingShape">
                    <wps:wsp>
                      <wps:cNvSpPr/>
                      <wps:spPr>
                        <a:xfrm>
                          <a:off x="0" y="0"/>
                          <a:ext cx="6155690" cy="2071370"/>
                        </a:xfrm>
                        <a:prstGeom prst="rect">
                          <a:avLst/>
                        </a:prstGeom>
                        <a:solidFill>
                          <a:srgbClr val="F2B1BC"/>
                        </a:solidFill>
                        <a:ln w="9525" cap="flat" cmpd="sng">
                          <a:solidFill>
                            <a:srgbClr val="000000"/>
                          </a:solidFill>
                          <a:prstDash val="solid"/>
                          <a:miter/>
                          <a:headEnd type="none" w="med" len="med"/>
                          <a:tailEnd type="none" w="med" len="med"/>
                        </a:ln>
                      </wps:spPr>
                      <wps:txbx>
                        <w:txbxContent>
                          <w:p w14:paraId="4018F9E9"/>
                        </w:txbxContent>
                      </wps:txbx>
                      <wps:bodyPr upright="1"/>
                    </wps:wsp>
                  </a:graphicData>
                </a:graphic>
              </wp:anchor>
            </w:drawing>
          </mc:Choice>
          <mc:Fallback>
            <w:pict>
              <v:rect id="_x0000_s1026" o:spid="_x0000_s1026" o:spt="1" style="position:absolute;left:0pt;margin-left:-8.25pt;margin-top:4.3pt;height:163.1pt;width:484.7pt;z-index:-251646976;mso-width-relative:page;mso-height-relative:page;" fillcolor="#F2B1BC" filled="t" stroked="t" coordsize="21600,21600" o:gfxdata="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H8S4DaAAAACQEAAA8AAAAAAAAAAQAgAAAAIgAA&#10;AGRycy9kb3ducmV2LnhtbFBLAQIUABQAAAAIAIdO4kD8fjWoBgIAADAEAAAOAAAAAAAAAAEAIAAA&#10;ACkBAABkcnMvZTJvRG9jLnhtbFBLBQYAAAAABgAGAFkBAAChBQAAAAA=&#10;">
                <v:fill on="t" focussize="0,0"/>
                <v:stroke color="#000000" joinstyle="miter"/>
                <v:imagedata o:title=""/>
                <o:lock v:ext="edit" aspectratio="f"/>
                <v:textbox>
                  <w:txbxContent>
                    <w:p w14:paraId="4018F9E9"/>
                  </w:txbxContent>
                </v:textbox>
              </v:rect>
            </w:pict>
          </mc:Fallback>
        </mc:AlternateContent>
      </w:r>
    </w:p>
    <w:p w14:paraId="1208257C">
      <w:pPr>
        <w:numPr>
          <w:ilvl w:val="0"/>
          <w:numId w:val="13"/>
        </w:numPr>
        <w:bidi w:val="0"/>
        <w:ind w:left="648" w:leftChars="0" w:hanging="648" w:firstLineChars="0"/>
        <w:rPr>
          <w:rFonts w:hint="default" w:ascii="Calibri" w:hAnsi="Calibri" w:cs="Calibri"/>
          <w:b/>
          <w:bCs/>
          <w:sz w:val="21"/>
          <w:szCs w:val="21"/>
        </w:rPr>
      </w:pPr>
      <w:r>
        <w:rPr>
          <w:rFonts w:hint="default" w:ascii="Calibri" w:hAnsi="Calibri" w:cs="Calibri"/>
          <w:b/>
          <w:bCs/>
          <w:sz w:val="21"/>
          <w:szCs w:val="21"/>
        </w:rPr>
        <w:t xml:space="preserve">DECLARAÇÃO DE INTEGRALIDADE DOS CUSTOS </w:t>
      </w:r>
    </w:p>
    <w:p w14:paraId="4B5BA366">
      <w:pPr>
        <w:bidi w:val="0"/>
        <w:rPr>
          <w:rFonts w:hint="default" w:ascii="Calibri" w:hAnsi="Calibri" w:cs="Calibri"/>
          <w:sz w:val="21"/>
          <w:szCs w:val="21"/>
        </w:rPr>
      </w:pPr>
    </w:p>
    <w:p w14:paraId="1F96B227">
      <w:pPr>
        <w:bidi w:val="0"/>
        <w:rPr>
          <w:rFonts w:hint="default" w:ascii="Calibri" w:hAnsi="Calibri" w:cs="Calibri"/>
          <w:sz w:val="21"/>
          <w:szCs w:val="21"/>
          <w:lang w:val="pt-BR"/>
        </w:rPr>
      </w:pPr>
      <w:r>
        <w:rPr>
          <w:rFonts w:hint="default" w:ascii="Calibri" w:hAnsi="Calibri" w:cs="Calibri"/>
          <w:sz w:val="21"/>
          <w:szCs w:val="21"/>
        </w:rPr>
        <w:t xml:space="preserve"> Edital [.] n° </w:t>
      </w:r>
      <w:r>
        <w:rPr>
          <w:rFonts w:hint="default" w:ascii="Calibri" w:hAnsi="Calibri" w:cs="Calibri"/>
          <w:sz w:val="21"/>
          <w:szCs w:val="21"/>
          <w:lang w:val="pt-BR"/>
        </w:rPr>
        <w:t>005/2025</w:t>
      </w:r>
    </w:p>
    <w:p w14:paraId="0E90167B">
      <w:pPr>
        <w:bidi w:val="0"/>
        <w:rPr>
          <w:rFonts w:hint="default" w:ascii="Calibri" w:hAnsi="Calibri" w:cs="Calibri"/>
          <w:sz w:val="21"/>
          <w:szCs w:val="21"/>
        </w:rPr>
      </w:pPr>
    </w:p>
    <w:p w14:paraId="5CA81F67">
      <w:pPr>
        <w:bidi w:val="0"/>
        <w:rPr>
          <w:rFonts w:hint="default" w:ascii="Calibri" w:hAnsi="Calibri" w:cs="Calibri"/>
          <w:sz w:val="21"/>
          <w:szCs w:val="21"/>
        </w:rPr>
      </w:pPr>
    </w:p>
    <w:p w14:paraId="0CAB69B7">
      <w:pPr>
        <w:bidi w:val="0"/>
        <w:jc w:val="both"/>
        <w:rPr>
          <w:rFonts w:hint="default" w:ascii="Calibri" w:hAnsi="Calibri" w:cs="Calibri"/>
          <w:sz w:val="21"/>
          <w:szCs w:val="21"/>
        </w:rPr>
      </w:pPr>
      <w:r>
        <w:rPr>
          <w:rFonts w:hint="default" w:ascii="Calibri" w:hAnsi="Calibri" w:cs="Calibri"/>
          <w:sz w:val="21"/>
          <w:szCs w:val="21"/>
        </w:rPr>
        <w:t xml:space="preserve">             A LICITANTE/CONTRATADA 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70134818">
      <w:pPr>
        <w:bidi w:val="0"/>
        <w:jc w:val="center"/>
        <w:rPr>
          <w:rFonts w:hint="default" w:ascii="Calibri" w:hAnsi="Calibri" w:cs="Calibri"/>
          <w:sz w:val="21"/>
          <w:szCs w:val="21"/>
        </w:rPr>
      </w:pPr>
    </w:p>
    <w:p w14:paraId="66B02A39">
      <w:pPr>
        <w:bidi w:val="0"/>
        <w:jc w:val="center"/>
        <w:rPr>
          <w:rFonts w:hint="default" w:ascii="Calibri" w:hAnsi="Calibri" w:cs="Calibri"/>
          <w:sz w:val="21"/>
          <w:szCs w:val="21"/>
        </w:rPr>
      </w:pPr>
      <w:r>
        <w:rPr>
          <w:rFonts w:hint="default" w:ascii="Calibri" w:hAnsi="Calibri" w:cs="Calibri"/>
          <w:sz w:val="21"/>
          <w:szCs w:val="21"/>
        </w:rPr>
        <w:t>Local, data, mes, ano.</w:t>
      </w:r>
    </w:p>
    <w:p w14:paraId="7385D024">
      <w:pPr>
        <w:bidi w:val="0"/>
        <w:jc w:val="center"/>
        <w:rPr>
          <w:rFonts w:hint="default" w:ascii="Calibri" w:hAnsi="Calibri" w:cs="Calibri"/>
          <w:sz w:val="21"/>
          <w:szCs w:val="21"/>
        </w:rPr>
      </w:pPr>
    </w:p>
    <w:p w14:paraId="781AD42A">
      <w:pPr>
        <w:bidi w:val="0"/>
        <w:jc w:val="center"/>
        <w:rPr>
          <w:rFonts w:hint="default" w:ascii="Calibri" w:hAnsi="Calibri" w:cs="Calibri"/>
          <w:sz w:val="21"/>
          <w:szCs w:val="21"/>
        </w:rPr>
      </w:pPr>
    </w:p>
    <w:p w14:paraId="085FCC13">
      <w:pPr>
        <w:bidi w:val="0"/>
        <w:jc w:val="center"/>
        <w:rPr>
          <w:rFonts w:hint="default" w:ascii="Calibri" w:hAnsi="Calibri" w:cs="Calibri"/>
          <w:sz w:val="21"/>
          <w:szCs w:val="21"/>
        </w:rPr>
      </w:pPr>
      <w:r>
        <w:rPr>
          <w:rFonts w:hint="default" w:ascii="Calibri" w:hAnsi="Calibri" w:cs="Calibri"/>
          <w:sz w:val="21"/>
          <w:szCs w:val="21"/>
        </w:rPr>
        <mc:AlternateContent>
          <mc:Choice Requires="wps">
            <w:drawing>
              <wp:anchor distT="0" distB="0" distL="114300" distR="114300" simplePos="0" relativeHeight="251670528" behindDoc="1" locked="0" layoutInCell="1" allowOverlap="1">
                <wp:simplePos x="0" y="0"/>
                <wp:positionH relativeFrom="column">
                  <wp:posOffset>-81280</wp:posOffset>
                </wp:positionH>
                <wp:positionV relativeFrom="paragraph">
                  <wp:posOffset>133985</wp:posOffset>
                </wp:positionV>
                <wp:extent cx="6167755" cy="2035810"/>
                <wp:effectExtent l="4445" t="4445" r="19050" b="17145"/>
                <wp:wrapNone/>
                <wp:docPr id="29" name="Retângulo 29"/>
                <wp:cNvGraphicFramePr/>
                <a:graphic xmlns:a="http://schemas.openxmlformats.org/drawingml/2006/main">
                  <a:graphicData uri="http://schemas.microsoft.com/office/word/2010/wordprocessingShape">
                    <wps:wsp>
                      <wps:cNvSpPr/>
                      <wps:spPr>
                        <a:xfrm>
                          <a:off x="0" y="0"/>
                          <a:ext cx="6167755" cy="2035810"/>
                        </a:xfrm>
                        <a:prstGeom prst="rect">
                          <a:avLst/>
                        </a:prstGeom>
                        <a:solidFill>
                          <a:srgbClr val="F2B1BC"/>
                        </a:solidFill>
                        <a:ln w="9525" cap="flat" cmpd="sng">
                          <a:solidFill>
                            <a:srgbClr val="000000"/>
                          </a:solidFill>
                          <a:prstDash val="solid"/>
                          <a:miter/>
                          <a:headEnd type="none" w="med" len="med"/>
                          <a:tailEnd type="none" w="med" len="med"/>
                        </a:ln>
                      </wps:spPr>
                      <wps:txbx>
                        <w:txbxContent>
                          <w:p w14:paraId="5FA165EC"/>
                        </w:txbxContent>
                      </wps:txbx>
                      <wps:bodyPr upright="1"/>
                    </wps:wsp>
                  </a:graphicData>
                </a:graphic>
              </wp:anchor>
            </w:drawing>
          </mc:Choice>
          <mc:Fallback>
            <w:pict>
              <v:rect id="_x0000_s1026" o:spid="_x0000_s1026" o:spt="1" style="position:absolute;left:0pt;margin-left:-6.4pt;margin-top:10.55pt;height:160.3pt;width:485.65pt;z-index:-251645952;mso-width-relative:page;mso-height-relative:page;" fillcolor="#F2B1BC" filled="t" stroked="t" coordsize="21600,21600" o:gfxdata="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w1EFvaAAAACgEAAA8AAAAAAAAAAQAgAAAAIgAA&#10;AGRycy9kb3ducmV2LnhtbFBLAQIUABQAAAAIAIdO4kBcTVK6BgIAADAEAAAOAAAAAAAAAAEAIAAA&#10;ACkBAABkcnMvZTJvRG9jLnhtbFBLBQYAAAAABgAGAFkBAAChBQAAAAA=&#10;">
                <v:fill on="t" focussize="0,0"/>
                <v:stroke color="#000000" joinstyle="miter"/>
                <v:imagedata o:title=""/>
                <o:lock v:ext="edit" aspectratio="f"/>
                <v:textbox>
                  <w:txbxContent>
                    <w:p w14:paraId="5FA165EC"/>
                  </w:txbxContent>
                </v:textbox>
              </v:rect>
            </w:pict>
          </mc:Fallback>
        </mc:AlternateContent>
      </w:r>
    </w:p>
    <w:p w14:paraId="4FD8026A">
      <w:pPr>
        <w:bidi w:val="0"/>
        <w:jc w:val="center"/>
        <w:rPr>
          <w:rFonts w:hint="default" w:ascii="Calibri" w:hAnsi="Calibri" w:cs="Calibri"/>
          <w:sz w:val="21"/>
          <w:szCs w:val="21"/>
        </w:rPr>
      </w:pPr>
    </w:p>
    <w:p w14:paraId="1C2686B9">
      <w:pPr>
        <w:bidi w:val="0"/>
        <w:jc w:val="center"/>
        <w:rPr>
          <w:rFonts w:hint="default" w:ascii="Calibri" w:hAnsi="Calibri" w:cs="Calibri"/>
          <w:sz w:val="21"/>
          <w:szCs w:val="21"/>
        </w:rPr>
      </w:pPr>
    </w:p>
    <w:p w14:paraId="47342444">
      <w:pPr>
        <w:numPr>
          <w:ilvl w:val="0"/>
          <w:numId w:val="13"/>
        </w:numPr>
        <w:bidi w:val="0"/>
        <w:ind w:left="648" w:leftChars="0" w:hanging="648" w:firstLineChars="0"/>
        <w:jc w:val="both"/>
        <w:rPr>
          <w:rFonts w:hint="default" w:ascii="Calibri" w:hAnsi="Calibri" w:cs="Calibri"/>
          <w:b/>
          <w:bCs/>
          <w:sz w:val="21"/>
          <w:szCs w:val="21"/>
        </w:rPr>
      </w:pPr>
      <w:r>
        <w:rPr>
          <w:rFonts w:hint="default" w:ascii="Calibri" w:hAnsi="Calibri" w:cs="Calibri"/>
          <w:b/>
          <w:bCs/>
          <w:sz w:val="21"/>
          <w:szCs w:val="21"/>
        </w:rPr>
        <w:t xml:space="preserve"> DECLARAÇÃO DE RESERVA DE CARGOS </w:t>
      </w:r>
    </w:p>
    <w:p w14:paraId="637DDFAA">
      <w:pPr>
        <w:bidi w:val="0"/>
        <w:jc w:val="both"/>
        <w:rPr>
          <w:rFonts w:hint="default" w:ascii="Calibri" w:hAnsi="Calibri" w:cs="Calibri"/>
          <w:sz w:val="21"/>
          <w:szCs w:val="21"/>
        </w:rPr>
      </w:pPr>
      <w:r>
        <w:rPr>
          <w:rFonts w:hint="default" w:ascii="Calibri" w:hAnsi="Calibri" w:cs="Calibri"/>
          <w:sz w:val="21"/>
          <w:szCs w:val="21"/>
        </w:rPr>
        <w:t xml:space="preserve">     </w:t>
      </w:r>
    </w:p>
    <w:p w14:paraId="5B158FD3">
      <w:pPr>
        <w:bidi w:val="0"/>
        <w:jc w:val="both"/>
        <w:rPr>
          <w:rFonts w:hint="default" w:ascii="Calibri" w:hAnsi="Calibri" w:cs="Calibri"/>
          <w:sz w:val="21"/>
          <w:szCs w:val="21"/>
          <w:lang w:val="pt-BR"/>
        </w:rPr>
      </w:pPr>
      <w:r>
        <w:rPr>
          <w:rFonts w:hint="default" w:ascii="Calibri" w:hAnsi="Calibri" w:cs="Calibri"/>
          <w:sz w:val="21"/>
          <w:szCs w:val="21"/>
        </w:rPr>
        <w:t xml:space="preserve">      Edital [.] n° </w:t>
      </w:r>
      <w:r>
        <w:rPr>
          <w:rFonts w:hint="default" w:ascii="Calibri" w:hAnsi="Calibri" w:cs="Calibri"/>
          <w:sz w:val="21"/>
          <w:szCs w:val="21"/>
          <w:lang w:val="pt-BR"/>
        </w:rPr>
        <w:t>005/2025</w:t>
      </w:r>
    </w:p>
    <w:p w14:paraId="6608F6A5">
      <w:pPr>
        <w:bidi w:val="0"/>
        <w:jc w:val="both"/>
        <w:rPr>
          <w:rFonts w:hint="default" w:ascii="Calibri" w:hAnsi="Calibri" w:cs="Calibri"/>
          <w:sz w:val="21"/>
          <w:szCs w:val="21"/>
          <w:lang w:val="pt-BR"/>
        </w:rPr>
      </w:pPr>
    </w:p>
    <w:p w14:paraId="34B0674D">
      <w:pPr>
        <w:bidi w:val="0"/>
        <w:jc w:val="both"/>
        <w:rPr>
          <w:rFonts w:hint="default" w:ascii="Calibri" w:hAnsi="Calibri" w:cs="Calibri"/>
          <w:sz w:val="21"/>
          <w:szCs w:val="21"/>
        </w:rPr>
      </w:pPr>
      <w:r>
        <w:rPr>
          <w:rFonts w:hint="default" w:ascii="Calibri" w:hAnsi="Calibri" w:cs="Calibri"/>
          <w:sz w:val="21"/>
          <w:szCs w:val="21"/>
        </w:rPr>
        <w:t xml:space="preserve">      A  LICITANTE/CONTRATADA  declara  que  cumprirá,  caso aplicável, as  exigências  de reserva de  cargos para pessoa com  deficiência e para reabilitado da Previdência Social, previstas em lei e em outras normas. </w:t>
      </w:r>
    </w:p>
    <w:p w14:paraId="69781AB0">
      <w:pPr>
        <w:numPr>
          <w:ilvl w:val="0"/>
          <w:numId w:val="0"/>
        </w:numPr>
        <w:bidi w:val="0"/>
        <w:ind w:leftChars="0"/>
        <w:jc w:val="center"/>
        <w:rPr>
          <w:rFonts w:hint="default" w:ascii="Calibri" w:hAnsi="Calibri" w:cs="Calibri"/>
          <w:sz w:val="21"/>
          <w:szCs w:val="21"/>
        </w:rPr>
      </w:pPr>
    </w:p>
    <w:p w14:paraId="7D4A6F4C">
      <w:pPr>
        <w:numPr>
          <w:ilvl w:val="0"/>
          <w:numId w:val="0"/>
        </w:numPr>
        <w:bidi w:val="0"/>
        <w:ind w:leftChars="0"/>
        <w:jc w:val="center"/>
        <w:rPr>
          <w:rFonts w:hint="default" w:ascii="Calibri" w:hAnsi="Calibri" w:cs="Calibri"/>
          <w:sz w:val="21"/>
          <w:szCs w:val="21"/>
        </w:rPr>
      </w:pPr>
      <w:r>
        <w:rPr>
          <w:rFonts w:hint="default" w:ascii="Calibri" w:hAnsi="Calibri" w:cs="Calibri"/>
          <w:sz w:val="21"/>
          <w:szCs w:val="21"/>
        </w:rPr>
        <w:t xml:space="preserve">      Local, data, mes, ano. </w:t>
      </w:r>
    </w:p>
    <w:p w14:paraId="48C9D407">
      <w:pPr>
        <w:numPr>
          <w:ilvl w:val="0"/>
          <w:numId w:val="0"/>
        </w:numPr>
        <w:bidi w:val="0"/>
        <w:ind w:leftChars="0"/>
        <w:jc w:val="center"/>
        <w:rPr>
          <w:rFonts w:hint="default" w:ascii="Calibri" w:hAnsi="Calibri" w:cs="Calibri"/>
          <w:sz w:val="21"/>
          <w:szCs w:val="21"/>
        </w:rPr>
      </w:pPr>
    </w:p>
    <w:p w14:paraId="2AA0DBF3">
      <w:pPr>
        <w:numPr>
          <w:ilvl w:val="0"/>
          <w:numId w:val="0"/>
        </w:numPr>
        <w:bidi w:val="0"/>
        <w:ind w:leftChars="0"/>
        <w:jc w:val="center"/>
        <w:rPr>
          <w:rFonts w:hint="default" w:ascii="Calibri" w:hAnsi="Calibri" w:cs="Calibri"/>
          <w:sz w:val="21"/>
          <w:szCs w:val="21"/>
        </w:rPr>
      </w:pPr>
    </w:p>
    <w:p w14:paraId="52C0D42A">
      <w:pPr>
        <w:numPr>
          <w:ilvl w:val="0"/>
          <w:numId w:val="0"/>
        </w:numPr>
        <w:bidi w:val="0"/>
        <w:ind w:leftChars="0"/>
        <w:jc w:val="center"/>
        <w:rPr>
          <w:rFonts w:hint="default" w:ascii="Calibri" w:hAnsi="Calibri" w:cs="Calibri"/>
          <w:sz w:val="21"/>
          <w:szCs w:val="21"/>
        </w:rPr>
      </w:pPr>
      <w:r>
        <w:rPr>
          <w:rFonts w:hint="default" w:ascii="Calibri" w:hAnsi="Calibri" w:cs="Calibri"/>
          <w:sz w:val="21"/>
          <w:szCs w:val="21"/>
        </w:rPr>
        <mc:AlternateContent>
          <mc:Choice Requires="wps">
            <w:drawing>
              <wp:anchor distT="0" distB="0" distL="114300" distR="114300" simplePos="0" relativeHeight="251671552" behindDoc="1" locked="0" layoutInCell="1" allowOverlap="1">
                <wp:simplePos x="0" y="0"/>
                <wp:positionH relativeFrom="column">
                  <wp:posOffset>-45085</wp:posOffset>
                </wp:positionH>
                <wp:positionV relativeFrom="paragraph">
                  <wp:posOffset>-29845</wp:posOffset>
                </wp:positionV>
                <wp:extent cx="6083935" cy="2071370"/>
                <wp:effectExtent l="4445" t="4445" r="7620" b="19685"/>
                <wp:wrapNone/>
                <wp:docPr id="21" name="Retângulo 21"/>
                <wp:cNvGraphicFramePr/>
                <a:graphic xmlns:a="http://schemas.openxmlformats.org/drawingml/2006/main">
                  <a:graphicData uri="http://schemas.microsoft.com/office/word/2010/wordprocessingShape">
                    <wps:wsp>
                      <wps:cNvSpPr/>
                      <wps:spPr>
                        <a:xfrm>
                          <a:off x="0" y="0"/>
                          <a:ext cx="6083935" cy="2071370"/>
                        </a:xfrm>
                        <a:prstGeom prst="rect">
                          <a:avLst/>
                        </a:prstGeom>
                        <a:solidFill>
                          <a:srgbClr val="F2B1BC"/>
                        </a:solidFill>
                        <a:ln w="9525" cap="flat" cmpd="sng">
                          <a:solidFill>
                            <a:srgbClr val="000000"/>
                          </a:solidFill>
                          <a:prstDash val="solid"/>
                          <a:miter/>
                          <a:headEnd type="none" w="med" len="med"/>
                          <a:tailEnd type="none" w="med" len="med"/>
                        </a:ln>
                      </wps:spPr>
                      <wps:txbx>
                        <w:txbxContent>
                          <w:p w14:paraId="36DAB050"/>
                        </w:txbxContent>
                      </wps:txbx>
                      <wps:bodyPr upright="1"/>
                    </wps:wsp>
                  </a:graphicData>
                </a:graphic>
              </wp:anchor>
            </w:drawing>
          </mc:Choice>
          <mc:Fallback>
            <w:pict>
              <v:rect id="_x0000_s1026" o:spid="_x0000_s1026" o:spt="1" style="position:absolute;left:0pt;margin-left:-3.55pt;margin-top:-2.35pt;height:163.1pt;width:479.05pt;z-index:-251644928;mso-width-relative:page;mso-height-relative:page;" fillcolor="#F2B1BC" filled="t" stroked="t" coordsize="21600,21600" o:gfxdata="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D7UytoAAAAJAQAADwAAAAAAAAABACAAAAAiAAAA&#10;ZHJzL2Rvd25yZXYueG1sUEsBAhQAFAAAAAgAh07iQIc+LSsFAgAAMAQAAA4AAAAAAAAAAQAgAAAA&#10;KQEAAGRycy9lMm9Eb2MueG1sUEsFBgAAAAAGAAYAWQEAAKAFAAAAAA==&#10;">
                <v:fill on="t" focussize="0,0"/>
                <v:stroke color="#000000" joinstyle="miter"/>
                <v:imagedata o:title=""/>
                <o:lock v:ext="edit" aspectratio="f"/>
                <v:textbox>
                  <w:txbxContent>
                    <w:p w14:paraId="36DAB050"/>
                  </w:txbxContent>
                </v:textbox>
              </v:rect>
            </w:pict>
          </mc:Fallback>
        </mc:AlternateContent>
      </w:r>
    </w:p>
    <w:p w14:paraId="2B35F4D8">
      <w:pPr>
        <w:bidi w:val="0"/>
        <w:rPr>
          <w:rFonts w:hint="default" w:ascii="Calibri" w:hAnsi="Calibri" w:cs="Calibri"/>
          <w:b/>
          <w:bCs/>
          <w:sz w:val="21"/>
          <w:szCs w:val="21"/>
        </w:rPr>
      </w:pPr>
      <w:r>
        <w:rPr>
          <w:rFonts w:hint="default" w:ascii="Calibri" w:hAnsi="Calibri" w:cs="Calibri"/>
          <w:b/>
          <w:bCs/>
          <w:sz w:val="21"/>
          <w:szCs w:val="21"/>
          <w:lang w:val="pt-BR"/>
        </w:rPr>
        <w:t xml:space="preserve">5) </w:t>
      </w:r>
      <w:r>
        <w:rPr>
          <w:rFonts w:hint="default" w:ascii="Calibri" w:hAnsi="Calibri" w:cs="Calibri"/>
          <w:b/>
          <w:bCs/>
          <w:sz w:val="21"/>
          <w:szCs w:val="21"/>
        </w:rPr>
        <w:t xml:space="preserve">DECLARAÇÃO DE </w:t>
      </w:r>
      <w:r>
        <w:rPr>
          <w:rFonts w:hint="default" w:ascii="Calibri" w:hAnsi="Calibri" w:cs="Calibri"/>
          <w:b/>
          <w:bCs/>
          <w:sz w:val="21"/>
          <w:szCs w:val="21"/>
          <w:lang w:val="pt-BR"/>
        </w:rPr>
        <w:t xml:space="preserve">DISPENSA DE </w:t>
      </w:r>
      <w:r>
        <w:rPr>
          <w:rFonts w:hint="default" w:ascii="Calibri" w:hAnsi="Calibri" w:cs="Calibri"/>
          <w:b/>
          <w:bCs/>
          <w:sz w:val="21"/>
          <w:szCs w:val="21"/>
        </w:rPr>
        <w:t xml:space="preserve">VISTORIA </w:t>
      </w:r>
    </w:p>
    <w:p w14:paraId="68E56F1D">
      <w:pPr>
        <w:bidi w:val="0"/>
        <w:rPr>
          <w:rFonts w:hint="default" w:ascii="Calibri" w:hAnsi="Calibri" w:cs="Calibri"/>
          <w:sz w:val="21"/>
          <w:szCs w:val="21"/>
        </w:rPr>
      </w:pPr>
    </w:p>
    <w:p w14:paraId="20EFFFC5">
      <w:pPr>
        <w:bidi w:val="0"/>
        <w:rPr>
          <w:rFonts w:hint="default" w:ascii="Calibri" w:hAnsi="Calibri" w:cs="Calibri"/>
          <w:sz w:val="21"/>
          <w:szCs w:val="21"/>
          <w:lang w:val="pt-BR"/>
        </w:rPr>
      </w:pPr>
      <w:r>
        <w:rPr>
          <w:rFonts w:hint="default" w:ascii="Calibri" w:hAnsi="Calibri" w:cs="Calibri"/>
          <w:sz w:val="21"/>
          <w:szCs w:val="21"/>
        </w:rPr>
        <w:t xml:space="preserve">      Edital [.] </w:t>
      </w:r>
      <w:r>
        <w:rPr>
          <w:rFonts w:hint="default" w:ascii="Calibri" w:hAnsi="Calibri" w:cs="Calibri"/>
          <w:sz w:val="21"/>
          <w:szCs w:val="21"/>
          <w:lang w:val="pt-BR"/>
        </w:rPr>
        <w:t>n° 005/2025</w:t>
      </w:r>
    </w:p>
    <w:p w14:paraId="2BCD55E9">
      <w:pPr>
        <w:bidi w:val="0"/>
        <w:rPr>
          <w:rFonts w:hint="default" w:ascii="Calibri" w:hAnsi="Calibri" w:cs="Calibri"/>
          <w:sz w:val="21"/>
          <w:szCs w:val="21"/>
        </w:rPr>
      </w:pPr>
    </w:p>
    <w:p w14:paraId="1B36BDD1">
      <w:pPr>
        <w:bidi w:val="0"/>
        <w:rPr>
          <w:rFonts w:hint="default" w:ascii="Calibri" w:hAnsi="Calibri" w:cs="Calibri"/>
          <w:sz w:val="21"/>
          <w:szCs w:val="21"/>
        </w:rPr>
      </w:pPr>
    </w:p>
    <w:p w14:paraId="639FCFA1">
      <w:pPr>
        <w:bidi w:val="0"/>
        <w:rPr>
          <w:rFonts w:hint="default" w:ascii="Calibri" w:hAnsi="Calibri" w:cs="Calibri"/>
          <w:sz w:val="21"/>
          <w:szCs w:val="21"/>
        </w:rPr>
      </w:pPr>
      <w:r>
        <w:rPr>
          <w:rFonts w:hint="default" w:ascii="Calibri" w:hAnsi="Calibri" w:cs="Calibri"/>
          <w:sz w:val="21"/>
          <w:szCs w:val="21"/>
        </w:rPr>
        <w:t xml:space="preserve">      A  LICITANTE/CONTRATADA  declara que  está ciente e tem  conhecimento   pleno  das condições  e peculiaridades para a execução do  objeto deste procedimento licitatório, dispensando a realização de vistoria, nos termos do art. 63, § 3° da lei 14.133/2021. </w:t>
      </w:r>
    </w:p>
    <w:p w14:paraId="473D2B84">
      <w:pPr>
        <w:bidi w:val="0"/>
        <w:rPr>
          <w:rFonts w:hint="default" w:ascii="Calibri" w:hAnsi="Calibri" w:cs="Calibri"/>
          <w:sz w:val="21"/>
          <w:szCs w:val="21"/>
        </w:rPr>
      </w:pPr>
    </w:p>
    <w:p w14:paraId="4EE0127F">
      <w:pPr>
        <w:bidi w:val="0"/>
        <w:jc w:val="center"/>
        <w:rPr>
          <w:rFonts w:hint="default" w:ascii="Calibri" w:hAnsi="Calibri" w:cs="Calibri"/>
          <w:sz w:val="21"/>
          <w:szCs w:val="21"/>
        </w:rPr>
      </w:pPr>
      <w:r>
        <w:rPr>
          <w:rFonts w:hint="default" w:ascii="Calibri" w:hAnsi="Calibri" w:cs="Calibri"/>
          <w:sz w:val="21"/>
          <w:szCs w:val="21"/>
        </w:rPr>
        <w:t>Local, data, mes, ano.</w:t>
      </w:r>
    </w:p>
    <w:p w14:paraId="429FA092">
      <w:pPr>
        <w:bidi w:val="0"/>
        <w:rPr>
          <w:rFonts w:hint="default" w:ascii="Calibri" w:hAnsi="Calibri" w:cs="Calibri"/>
          <w:sz w:val="21"/>
          <w:szCs w:val="21"/>
          <w:lang w:val="pt-BR"/>
        </w:rPr>
      </w:pPr>
    </w:p>
    <w:p w14:paraId="1D30B55C">
      <w:pPr>
        <w:bidi w:val="0"/>
        <w:rPr>
          <w:rFonts w:hint="default" w:ascii="Calibri" w:hAnsi="Calibri" w:cs="Calibri"/>
          <w:sz w:val="21"/>
          <w:szCs w:val="21"/>
          <w:lang w:val="pt-BR"/>
        </w:rPr>
      </w:pPr>
    </w:p>
    <w:p w14:paraId="36191BCC">
      <w:pPr>
        <w:bidi w:val="0"/>
        <w:rPr>
          <w:rFonts w:hint="default" w:ascii="Calibri" w:hAnsi="Calibri" w:cs="Calibri"/>
          <w:sz w:val="21"/>
          <w:szCs w:val="21"/>
          <w:lang w:val="pt-BR"/>
        </w:rPr>
      </w:pPr>
    </w:p>
    <w:p w14:paraId="6C77F850">
      <w:pPr>
        <w:bidi w:val="0"/>
        <w:rPr>
          <w:rFonts w:hint="default" w:ascii="Calibri" w:hAnsi="Calibri" w:cs="Calibri"/>
          <w:sz w:val="21"/>
          <w:szCs w:val="21"/>
          <w:lang w:val="pt-BR"/>
        </w:rPr>
      </w:pPr>
    </w:p>
    <w:p w14:paraId="693E84A1">
      <w:pPr>
        <w:bidi w:val="0"/>
        <w:rPr>
          <w:rFonts w:hint="default" w:ascii="Calibri" w:hAnsi="Calibri" w:cs="Calibri"/>
          <w:sz w:val="21"/>
          <w:szCs w:val="21"/>
          <w:lang w:val="pt-BR"/>
        </w:rPr>
      </w:pPr>
      <w:r>
        <w:rPr>
          <w:rFonts w:hint="default" w:ascii="Calibri" w:hAnsi="Calibri" w:cs="Calibri"/>
          <w:sz w:val="21"/>
          <w:szCs w:val="21"/>
        </w:rPr>
        <mc:AlternateContent>
          <mc:Choice Requires="wps">
            <w:drawing>
              <wp:anchor distT="0" distB="0" distL="114300" distR="114300" simplePos="0" relativeHeight="251672576" behindDoc="1" locked="0" layoutInCell="1" allowOverlap="1">
                <wp:simplePos x="0" y="0"/>
                <wp:positionH relativeFrom="column">
                  <wp:posOffset>-57150</wp:posOffset>
                </wp:positionH>
                <wp:positionV relativeFrom="paragraph">
                  <wp:posOffset>34290</wp:posOffset>
                </wp:positionV>
                <wp:extent cx="6131560" cy="1976755"/>
                <wp:effectExtent l="4445" t="4445" r="17145" b="19050"/>
                <wp:wrapNone/>
                <wp:docPr id="31" name="Retângulo 31"/>
                <wp:cNvGraphicFramePr/>
                <a:graphic xmlns:a="http://schemas.openxmlformats.org/drawingml/2006/main">
                  <a:graphicData uri="http://schemas.microsoft.com/office/word/2010/wordprocessingShape">
                    <wps:wsp>
                      <wps:cNvSpPr/>
                      <wps:spPr>
                        <a:xfrm>
                          <a:off x="0" y="0"/>
                          <a:ext cx="6131560" cy="1976755"/>
                        </a:xfrm>
                        <a:prstGeom prst="rect">
                          <a:avLst/>
                        </a:prstGeom>
                        <a:solidFill>
                          <a:srgbClr val="F2B1BC"/>
                        </a:solidFill>
                        <a:ln w="9525" cap="flat" cmpd="sng">
                          <a:solidFill>
                            <a:srgbClr val="000000"/>
                          </a:solidFill>
                          <a:prstDash val="solid"/>
                          <a:miter/>
                          <a:headEnd type="none" w="med" len="med"/>
                          <a:tailEnd type="none" w="med" len="med"/>
                        </a:ln>
                      </wps:spPr>
                      <wps:txbx>
                        <w:txbxContent>
                          <w:p w14:paraId="1988729E"/>
                        </w:txbxContent>
                      </wps:txbx>
                      <wps:bodyPr upright="1"/>
                    </wps:wsp>
                  </a:graphicData>
                </a:graphic>
              </wp:anchor>
            </w:drawing>
          </mc:Choice>
          <mc:Fallback>
            <w:pict>
              <v:rect id="_x0000_s1026" o:spid="_x0000_s1026" o:spt="1" style="position:absolute;left:0pt;margin-left:-4.5pt;margin-top:2.7pt;height:155.65pt;width:482.8pt;z-index:-251643904;mso-width-relative:page;mso-height-relative:page;" fillcolor="#F2B1BC" filled="t" stroked="t" coordsize="21600,21600" o:gfxdata="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S9au9kAAAAIAQAADwAAAAAAAAABACAAAAAiAAAAZHJz&#10;L2Rvd25yZXYueG1sUEsBAhQAFAAAAAgAh07iQJxkZBoDAgAAMAQAAA4AAAAAAAAAAQAgAAAAKAEA&#10;AGRycy9lMm9Eb2MueG1sUEsFBgAAAAAGAAYAWQEAAJ0FAAAAAA==&#10;">
                <v:fill on="t" focussize="0,0"/>
                <v:stroke color="#000000" joinstyle="miter"/>
                <v:imagedata o:title=""/>
                <o:lock v:ext="edit" aspectratio="f"/>
                <v:textbox>
                  <w:txbxContent>
                    <w:p w14:paraId="1988729E"/>
                  </w:txbxContent>
                </v:textbox>
              </v:rect>
            </w:pict>
          </mc:Fallback>
        </mc:AlternateContent>
      </w:r>
    </w:p>
    <w:p w14:paraId="1E1C7C97">
      <w:pPr>
        <w:numPr>
          <w:ilvl w:val="0"/>
          <w:numId w:val="0"/>
        </w:numPr>
        <w:bidi w:val="0"/>
        <w:ind w:leftChars="0"/>
        <w:rPr>
          <w:rFonts w:hint="default" w:ascii="Calibri" w:hAnsi="Calibri" w:cs="Calibri"/>
          <w:b/>
          <w:bCs/>
          <w:sz w:val="21"/>
          <w:szCs w:val="21"/>
          <w:lang w:val="pt-BR"/>
        </w:rPr>
      </w:pPr>
      <w:r>
        <w:rPr>
          <w:rFonts w:hint="default" w:ascii="Calibri" w:hAnsi="Calibri" w:cs="Calibri"/>
          <w:b/>
          <w:bCs/>
          <w:sz w:val="21"/>
          <w:szCs w:val="21"/>
          <w:lang w:val="pt-BR"/>
        </w:rPr>
        <w:t>6) DECLARAÇÃO DE  VISTORIA (se for o caso)</w:t>
      </w:r>
    </w:p>
    <w:p w14:paraId="52D61275">
      <w:pPr>
        <w:bidi w:val="0"/>
        <w:rPr>
          <w:rFonts w:hint="default" w:ascii="Calibri" w:hAnsi="Calibri" w:cs="Calibri"/>
          <w:sz w:val="21"/>
          <w:szCs w:val="21"/>
          <w:lang w:val="pt-BR"/>
        </w:rPr>
      </w:pPr>
      <w:r>
        <w:rPr>
          <w:rFonts w:hint="default" w:ascii="Calibri" w:hAnsi="Calibri" w:cs="Calibri"/>
          <w:sz w:val="21"/>
          <w:szCs w:val="21"/>
          <w:lang w:val="pt-BR"/>
        </w:rPr>
        <w:t xml:space="preserve">  </w:t>
      </w:r>
    </w:p>
    <w:p w14:paraId="0E7FDF54">
      <w:pPr>
        <w:bidi w:val="0"/>
        <w:rPr>
          <w:rFonts w:hint="default" w:ascii="Calibri" w:hAnsi="Calibri" w:cs="Calibri"/>
          <w:sz w:val="21"/>
          <w:szCs w:val="21"/>
          <w:lang w:val="pt-BR"/>
        </w:rPr>
      </w:pPr>
      <w:r>
        <w:rPr>
          <w:rFonts w:hint="default" w:ascii="Calibri" w:hAnsi="Calibri" w:cs="Calibri"/>
          <w:sz w:val="21"/>
          <w:szCs w:val="21"/>
          <w:lang w:val="pt-BR"/>
        </w:rPr>
        <w:t xml:space="preserve">      Edital [.] n° 005/2025</w:t>
      </w:r>
    </w:p>
    <w:p w14:paraId="36E78BA7">
      <w:pPr>
        <w:bidi w:val="0"/>
        <w:rPr>
          <w:rFonts w:hint="default" w:ascii="Calibri" w:hAnsi="Calibri" w:cs="Calibri"/>
          <w:sz w:val="21"/>
          <w:szCs w:val="21"/>
          <w:lang w:val="pt-BR"/>
        </w:rPr>
      </w:pPr>
    </w:p>
    <w:p w14:paraId="3390E6F7">
      <w:pPr>
        <w:bidi w:val="0"/>
        <w:jc w:val="both"/>
        <w:rPr>
          <w:rFonts w:hint="default" w:ascii="Calibri" w:hAnsi="Calibri" w:cs="Calibri"/>
          <w:sz w:val="21"/>
          <w:szCs w:val="21"/>
          <w:lang w:val="pt-BR"/>
        </w:rPr>
      </w:pPr>
      <w:r>
        <w:rPr>
          <w:rFonts w:hint="default" w:ascii="Calibri" w:hAnsi="Calibri" w:cs="Calibri"/>
          <w:sz w:val="21"/>
          <w:szCs w:val="21"/>
          <w:lang w:val="pt-BR"/>
        </w:rPr>
        <w:t xml:space="preserve">      A LICITANTE/CONTRATADA  declara que realizou vistoria, tendo conhecimento pleno das condições e peculiaridades para a execução do objeto deste procedimento licitatório. </w:t>
      </w:r>
    </w:p>
    <w:p w14:paraId="6E49AE23">
      <w:pPr>
        <w:bidi w:val="0"/>
        <w:jc w:val="both"/>
        <w:rPr>
          <w:rFonts w:hint="default" w:ascii="Calibri" w:hAnsi="Calibri" w:cs="Calibri"/>
          <w:sz w:val="21"/>
          <w:szCs w:val="21"/>
          <w:lang w:val="pt-BR"/>
        </w:rPr>
      </w:pPr>
    </w:p>
    <w:p w14:paraId="01CCB748">
      <w:pPr>
        <w:bidi w:val="0"/>
        <w:jc w:val="center"/>
        <w:rPr>
          <w:rFonts w:hint="default" w:ascii="Calibri" w:hAnsi="Calibri" w:cs="Calibri"/>
          <w:sz w:val="21"/>
          <w:szCs w:val="21"/>
          <w:lang w:val="pt-BR"/>
        </w:rPr>
      </w:pPr>
      <w:r>
        <w:rPr>
          <w:rFonts w:hint="default" w:ascii="Calibri" w:hAnsi="Calibri" w:cs="Calibri"/>
          <w:sz w:val="21"/>
          <w:szCs w:val="21"/>
          <w:lang w:val="pt-BR"/>
        </w:rPr>
        <w:t>Local, data, mes, ano.</w:t>
      </w:r>
    </w:p>
    <w:p w14:paraId="5FAD8FB8">
      <w:pPr>
        <w:numPr>
          <w:ilvl w:val="0"/>
          <w:numId w:val="0"/>
        </w:numPr>
        <w:bidi w:val="0"/>
        <w:ind w:leftChars="0"/>
        <w:jc w:val="center"/>
        <w:rPr>
          <w:rFonts w:hint="default" w:ascii="Calibri" w:hAnsi="Calibri" w:cs="Calibri"/>
          <w:sz w:val="21"/>
          <w:szCs w:val="21"/>
        </w:rPr>
      </w:pPr>
    </w:p>
    <w:p w14:paraId="4BE03E73">
      <w:pPr>
        <w:numPr>
          <w:ilvl w:val="0"/>
          <w:numId w:val="0"/>
        </w:numPr>
        <w:bidi w:val="0"/>
        <w:ind w:leftChars="0"/>
        <w:jc w:val="center"/>
        <w:rPr>
          <w:rFonts w:hint="default" w:ascii="Calibri" w:hAnsi="Calibri" w:cs="Calibri"/>
          <w:sz w:val="21"/>
          <w:szCs w:val="21"/>
        </w:rPr>
      </w:pPr>
    </w:p>
    <w:p w14:paraId="3BA43D03">
      <w:pPr>
        <w:numPr>
          <w:ilvl w:val="0"/>
          <w:numId w:val="0"/>
        </w:numPr>
        <w:bidi w:val="0"/>
        <w:ind w:leftChars="0"/>
        <w:jc w:val="center"/>
        <w:rPr>
          <w:rFonts w:hint="default" w:ascii="Calibri" w:hAnsi="Calibri" w:cs="Calibri"/>
          <w:sz w:val="21"/>
          <w:szCs w:val="21"/>
        </w:rPr>
      </w:pPr>
    </w:p>
    <w:p w14:paraId="2702300C">
      <w:pPr>
        <w:numPr>
          <w:ilvl w:val="0"/>
          <w:numId w:val="0"/>
        </w:numPr>
        <w:bidi w:val="0"/>
        <w:ind w:leftChars="0"/>
        <w:jc w:val="center"/>
        <w:rPr>
          <w:rFonts w:hint="default" w:ascii="Calibri" w:hAnsi="Calibri" w:cs="Calibri"/>
          <w:sz w:val="21"/>
          <w:szCs w:val="21"/>
        </w:rPr>
      </w:pPr>
    </w:p>
    <w:p w14:paraId="3FA08A4F">
      <w:pPr>
        <w:numPr>
          <w:ilvl w:val="0"/>
          <w:numId w:val="0"/>
        </w:numPr>
        <w:bidi w:val="0"/>
        <w:ind w:leftChars="0"/>
        <w:jc w:val="center"/>
        <w:rPr>
          <w:rFonts w:hint="default" w:ascii="Calibri" w:hAnsi="Calibri" w:cs="Calibri"/>
          <w:sz w:val="21"/>
          <w:szCs w:val="21"/>
        </w:rPr>
      </w:pPr>
    </w:p>
    <w:p w14:paraId="23482FB2">
      <w:pPr>
        <w:numPr>
          <w:ilvl w:val="0"/>
          <w:numId w:val="0"/>
        </w:numPr>
        <w:bidi w:val="0"/>
        <w:ind w:leftChars="0"/>
        <w:jc w:val="center"/>
        <w:rPr>
          <w:rFonts w:hint="default" w:ascii="Calibri" w:hAnsi="Calibri" w:cs="Calibri"/>
          <w:sz w:val="21"/>
          <w:szCs w:val="21"/>
        </w:rPr>
      </w:pPr>
      <w:r>
        <w:rPr>
          <w:rFonts w:hint="default" w:ascii="Calibri" w:hAnsi="Calibri" w:cs="Calibri"/>
          <w:sz w:val="21"/>
          <w:szCs w:val="21"/>
        </w:rPr>
        <mc:AlternateContent>
          <mc:Choice Requires="wps">
            <w:drawing>
              <wp:anchor distT="0" distB="0" distL="114300" distR="114300" simplePos="0" relativeHeight="251673600" behindDoc="1" locked="0" layoutInCell="1" allowOverlap="1">
                <wp:simplePos x="0" y="0"/>
                <wp:positionH relativeFrom="column">
                  <wp:posOffset>-58420</wp:posOffset>
                </wp:positionH>
                <wp:positionV relativeFrom="paragraph">
                  <wp:posOffset>144145</wp:posOffset>
                </wp:positionV>
                <wp:extent cx="6162675" cy="2971800"/>
                <wp:effectExtent l="4445" t="4445" r="5080" b="14605"/>
                <wp:wrapNone/>
                <wp:docPr id="20" name="Retângulo 20"/>
                <wp:cNvGraphicFramePr/>
                <a:graphic xmlns:a="http://schemas.openxmlformats.org/drawingml/2006/main">
                  <a:graphicData uri="http://schemas.microsoft.com/office/word/2010/wordprocessingShape">
                    <wps:wsp>
                      <wps:cNvSpPr/>
                      <wps:spPr>
                        <a:xfrm>
                          <a:off x="0" y="0"/>
                          <a:ext cx="6162675" cy="2971800"/>
                        </a:xfrm>
                        <a:prstGeom prst="rect">
                          <a:avLst/>
                        </a:prstGeom>
                        <a:solidFill>
                          <a:srgbClr val="F2B1BC"/>
                        </a:solidFill>
                        <a:ln w="9525" cap="flat" cmpd="sng">
                          <a:solidFill>
                            <a:srgbClr val="000000"/>
                          </a:solidFill>
                          <a:prstDash val="solid"/>
                          <a:miter/>
                          <a:headEnd type="none" w="med" len="med"/>
                          <a:tailEnd type="none" w="med" len="med"/>
                        </a:ln>
                      </wps:spPr>
                      <wps:txbx>
                        <w:txbxContent>
                          <w:p w14:paraId="693A2EE3"/>
                        </w:txbxContent>
                      </wps:txbx>
                      <wps:bodyPr upright="1"/>
                    </wps:wsp>
                  </a:graphicData>
                </a:graphic>
              </wp:anchor>
            </w:drawing>
          </mc:Choice>
          <mc:Fallback>
            <w:pict>
              <v:rect id="_x0000_s1026" o:spid="_x0000_s1026" o:spt="1" style="position:absolute;left:0pt;margin-left:-4.6pt;margin-top:11.35pt;height:234pt;width:485.25pt;z-index:-251642880;mso-width-relative:page;mso-height-relative:page;" fillcolor="#F2B1BC" filled="t" stroked="t" coordsize="21600,21600" o:gfxdata="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KmfidoAAAAJAQAADwAAAAAAAAABACAAAAAiAAAA&#10;ZHJzL2Rvd25yZXYueG1sUEsBAhQAFAAAAAgAh07iQMD0mUwFAgAAMAQAAA4AAAAAAAAAAQAgAAAA&#10;KQEAAGRycy9lMm9Eb2MueG1sUEsFBgAAAAAGAAYAWQEAAKAFAAAAAA==&#10;">
                <v:fill on="t" focussize="0,0"/>
                <v:stroke color="#000000" joinstyle="miter"/>
                <v:imagedata o:title=""/>
                <o:lock v:ext="edit" aspectratio="f"/>
                <v:textbox>
                  <w:txbxContent>
                    <w:p w14:paraId="693A2EE3"/>
                  </w:txbxContent>
                </v:textbox>
              </v:rect>
            </w:pict>
          </mc:Fallback>
        </mc:AlternateContent>
      </w:r>
    </w:p>
    <w:p w14:paraId="37730C8C">
      <w:pPr>
        <w:numPr>
          <w:ilvl w:val="0"/>
          <w:numId w:val="0"/>
        </w:numPr>
        <w:bidi w:val="0"/>
        <w:ind w:leftChars="0"/>
        <w:jc w:val="center"/>
        <w:rPr>
          <w:rFonts w:hint="default" w:ascii="Calibri" w:hAnsi="Calibri" w:cs="Calibri"/>
          <w:sz w:val="21"/>
          <w:szCs w:val="21"/>
        </w:rPr>
      </w:pPr>
    </w:p>
    <w:p w14:paraId="01201164">
      <w:pPr>
        <w:numPr>
          <w:ilvl w:val="0"/>
          <w:numId w:val="0"/>
        </w:numPr>
        <w:bidi w:val="0"/>
        <w:rPr>
          <w:rFonts w:hint="default" w:ascii="Calibri" w:hAnsi="Calibri" w:cs="Calibri"/>
          <w:b/>
          <w:bCs/>
          <w:sz w:val="21"/>
          <w:szCs w:val="21"/>
        </w:rPr>
      </w:pPr>
      <w:r>
        <w:rPr>
          <w:rFonts w:hint="default" w:ascii="Calibri" w:hAnsi="Calibri" w:cs="Calibri"/>
          <w:b/>
          <w:bCs/>
          <w:sz w:val="21"/>
          <w:szCs w:val="21"/>
          <w:lang w:val="pt-BR"/>
        </w:rPr>
        <w:t>7)</w:t>
      </w:r>
      <w:r>
        <w:rPr>
          <w:rFonts w:hint="default" w:ascii="Calibri" w:hAnsi="Calibri" w:cs="Calibri"/>
          <w:b/>
          <w:bCs/>
          <w:sz w:val="21"/>
          <w:szCs w:val="21"/>
        </w:rPr>
        <w:t xml:space="preserve">DECLARAÇÃO DE VERACIDADE DAS INFORMAÇÕES, CONTEÚDO E  DOCUMENTOS APRESENTADOS </w:t>
      </w:r>
    </w:p>
    <w:p w14:paraId="2FD9C76B">
      <w:pPr>
        <w:bidi w:val="0"/>
        <w:rPr>
          <w:rFonts w:hint="default" w:ascii="Calibri" w:hAnsi="Calibri" w:cs="Calibri"/>
          <w:sz w:val="21"/>
          <w:szCs w:val="21"/>
        </w:rPr>
      </w:pPr>
    </w:p>
    <w:p w14:paraId="0196D5E2">
      <w:pPr>
        <w:bidi w:val="0"/>
        <w:rPr>
          <w:rFonts w:hint="default" w:ascii="Calibri" w:hAnsi="Calibri" w:cs="Calibri"/>
          <w:sz w:val="21"/>
          <w:szCs w:val="21"/>
        </w:rPr>
      </w:pPr>
    </w:p>
    <w:p w14:paraId="0A882BDB">
      <w:pPr>
        <w:bidi w:val="0"/>
        <w:rPr>
          <w:rFonts w:hint="default" w:ascii="Calibri" w:hAnsi="Calibri" w:cs="Calibri"/>
          <w:sz w:val="21"/>
          <w:szCs w:val="21"/>
        </w:rPr>
      </w:pPr>
      <w:r>
        <w:rPr>
          <w:rFonts w:hint="default" w:ascii="Calibri" w:hAnsi="Calibri" w:cs="Calibri"/>
          <w:sz w:val="21"/>
          <w:szCs w:val="21"/>
        </w:rPr>
        <w:t xml:space="preserve">Edital [.] </w:t>
      </w:r>
      <w:r>
        <w:rPr>
          <w:rFonts w:hint="default" w:ascii="Calibri" w:hAnsi="Calibri" w:cs="Calibri"/>
          <w:sz w:val="21"/>
          <w:szCs w:val="21"/>
          <w:lang w:val="pt-BR"/>
        </w:rPr>
        <w:t>n° 005/2025</w:t>
      </w:r>
      <w:r>
        <w:rPr>
          <w:rFonts w:hint="default" w:ascii="Calibri" w:hAnsi="Calibri" w:cs="Calibri"/>
          <w:sz w:val="21"/>
          <w:szCs w:val="21"/>
        </w:rPr>
        <w:t xml:space="preserve"> </w:t>
      </w:r>
    </w:p>
    <w:p w14:paraId="5D20151D">
      <w:pPr>
        <w:bidi w:val="0"/>
        <w:rPr>
          <w:rFonts w:hint="default" w:ascii="Calibri" w:hAnsi="Calibri" w:cs="Calibri"/>
          <w:sz w:val="21"/>
          <w:szCs w:val="21"/>
        </w:rPr>
      </w:pPr>
    </w:p>
    <w:p w14:paraId="1661B458">
      <w:pPr>
        <w:bidi w:val="0"/>
        <w:jc w:val="both"/>
        <w:rPr>
          <w:rFonts w:hint="default" w:ascii="Calibri" w:hAnsi="Calibri" w:cs="Calibri"/>
          <w:sz w:val="21"/>
          <w:szCs w:val="21"/>
        </w:rPr>
      </w:pPr>
      <w:r>
        <w:rPr>
          <w:rFonts w:hint="default" w:ascii="Calibri" w:hAnsi="Calibri" w:cs="Calibri"/>
          <w:sz w:val="21"/>
          <w:szCs w:val="21"/>
        </w:rPr>
        <w:t>[inserir nome  da  empresa]</w:t>
      </w:r>
      <w:r>
        <w:rPr>
          <w:rFonts w:hint="default" w:ascii="Calibri" w:hAnsi="Calibri" w:cs="Calibri"/>
          <w:sz w:val="21"/>
          <w:szCs w:val="21"/>
          <w:lang w:val="pt-BR"/>
        </w:rPr>
        <w:t>......</w:t>
      </w:r>
      <w:r>
        <w:rPr>
          <w:rFonts w:hint="default" w:ascii="Calibri" w:hAnsi="Calibri" w:cs="Calibri"/>
          <w:sz w:val="21"/>
          <w:szCs w:val="21"/>
        </w:rPr>
        <w:t xml:space="preserve">, </w:t>
      </w:r>
      <w:r>
        <w:rPr>
          <w:rFonts w:hint="default" w:ascii="Calibri" w:hAnsi="Calibri" w:cs="Calibri"/>
          <w:sz w:val="21"/>
          <w:szCs w:val="21"/>
          <w:lang w:val="pt-BR"/>
        </w:rPr>
        <w:t>..</w:t>
      </w:r>
      <w:r>
        <w:rPr>
          <w:rFonts w:hint="default" w:ascii="Calibri" w:hAnsi="Calibri" w:cs="Calibri"/>
          <w:sz w:val="21"/>
          <w:szCs w:val="21"/>
        </w:rPr>
        <w:t>[inserir qualificação completa]</w:t>
      </w:r>
      <w:r>
        <w:rPr>
          <w:rFonts w:hint="default" w:ascii="Calibri" w:hAnsi="Calibri" w:cs="Calibri"/>
          <w:sz w:val="21"/>
          <w:szCs w:val="21"/>
          <w:lang w:val="pt-BR"/>
        </w:rPr>
        <w:t>....</w:t>
      </w:r>
      <w:r>
        <w:rPr>
          <w:rFonts w:hint="default" w:ascii="Calibri" w:hAnsi="Calibri" w:cs="Calibri"/>
          <w:sz w:val="21"/>
          <w:szCs w:val="21"/>
        </w:rPr>
        <w:t xml:space="preserve">, representada pelo(a) r.(a) </w:t>
      </w:r>
      <w:r>
        <w:rPr>
          <w:rFonts w:hint="default" w:ascii="Calibri" w:hAnsi="Calibri" w:cs="Calibri"/>
          <w:sz w:val="21"/>
          <w:szCs w:val="21"/>
          <w:lang w:val="pt-BR"/>
        </w:rPr>
        <w:t>...........</w:t>
      </w:r>
      <w:r>
        <w:rPr>
          <w:rFonts w:hint="default" w:ascii="Calibri" w:hAnsi="Calibri" w:cs="Calibri"/>
          <w:sz w:val="21"/>
          <w:szCs w:val="21"/>
        </w:rPr>
        <w:t xml:space="preserve">[inserir nome], </w:t>
      </w:r>
      <w:r>
        <w:rPr>
          <w:rFonts w:hint="default" w:ascii="Calibri" w:hAnsi="Calibri" w:cs="Calibri"/>
          <w:sz w:val="21"/>
          <w:szCs w:val="21"/>
          <w:lang w:val="pt-BR"/>
        </w:rPr>
        <w:t>..........</w:t>
      </w:r>
      <w:r>
        <w:rPr>
          <w:rFonts w:hint="default" w:ascii="Calibri" w:hAnsi="Calibri" w:cs="Calibri"/>
          <w:sz w:val="21"/>
          <w:szCs w:val="21"/>
        </w:rPr>
        <w:t>[inserir qualificação completa]</w:t>
      </w:r>
      <w:r>
        <w:rPr>
          <w:rFonts w:hint="default" w:ascii="Calibri" w:hAnsi="Calibri" w:cs="Calibri"/>
          <w:sz w:val="21"/>
          <w:szCs w:val="21"/>
          <w:lang w:val="pt-BR"/>
        </w:rPr>
        <w:t>......</w:t>
      </w:r>
      <w:r>
        <w:rPr>
          <w:rFonts w:hint="default" w:ascii="Calibri" w:hAnsi="Calibri" w:cs="Calibri"/>
          <w:sz w:val="21"/>
          <w:szCs w:val="21"/>
        </w:rPr>
        <w:t>,  DECLARA,   para fins  de participação no  certame  em</w:t>
      </w:r>
      <w:r>
        <w:rPr>
          <w:rFonts w:hint="default" w:ascii="Calibri" w:hAnsi="Calibri" w:cs="Calibri"/>
          <w:sz w:val="21"/>
          <w:szCs w:val="21"/>
          <w:lang w:val="pt-BR"/>
        </w:rPr>
        <w:t xml:space="preserve"> </w:t>
      </w:r>
      <w:r>
        <w:rPr>
          <w:rFonts w:hint="default" w:ascii="Calibri" w:hAnsi="Calibri" w:cs="Calibri"/>
          <w:sz w:val="21"/>
          <w:szCs w:val="21"/>
        </w:rPr>
        <w:t xml:space="preserve">epígrafe, a  veracidade  de  todas as  informações,  declarações, conteúdos  e  dos   documentos apresentados, firmando   compromisso de colaboração em eventuais diligências e esclarecimentos. </w:t>
      </w:r>
    </w:p>
    <w:p w14:paraId="0BFDEE4D">
      <w:pPr>
        <w:bidi w:val="0"/>
        <w:rPr>
          <w:rFonts w:hint="default" w:ascii="Calibri" w:hAnsi="Calibri" w:cs="Calibri"/>
          <w:sz w:val="21"/>
          <w:szCs w:val="21"/>
        </w:rPr>
      </w:pPr>
    </w:p>
    <w:p w14:paraId="5FF2E47B">
      <w:pPr>
        <w:bidi w:val="0"/>
        <w:jc w:val="center"/>
        <w:rPr>
          <w:rFonts w:hint="default" w:ascii="Calibri" w:hAnsi="Calibri" w:cs="Calibri"/>
          <w:sz w:val="21"/>
          <w:szCs w:val="21"/>
        </w:rPr>
      </w:pPr>
    </w:p>
    <w:p w14:paraId="2A58F847">
      <w:pPr>
        <w:bidi w:val="0"/>
        <w:jc w:val="center"/>
        <w:rPr>
          <w:rFonts w:hint="default" w:ascii="Calibri" w:hAnsi="Calibri" w:cs="Calibri"/>
          <w:sz w:val="21"/>
          <w:szCs w:val="21"/>
        </w:rPr>
      </w:pPr>
    </w:p>
    <w:p w14:paraId="5870BC5A">
      <w:pPr>
        <w:bidi w:val="0"/>
        <w:jc w:val="center"/>
        <w:rPr>
          <w:rFonts w:hint="default" w:ascii="Calibri" w:hAnsi="Calibri" w:cs="Calibri"/>
          <w:sz w:val="21"/>
          <w:szCs w:val="21"/>
        </w:rPr>
      </w:pPr>
    </w:p>
    <w:p w14:paraId="4A094027">
      <w:pPr>
        <w:bidi w:val="0"/>
        <w:jc w:val="center"/>
        <w:rPr>
          <w:rFonts w:hint="default" w:ascii="Calibri" w:hAnsi="Calibri" w:cs="Calibri"/>
          <w:sz w:val="21"/>
          <w:szCs w:val="21"/>
        </w:rPr>
      </w:pPr>
    </w:p>
    <w:p w14:paraId="7511C780">
      <w:pPr>
        <w:bidi w:val="0"/>
        <w:jc w:val="center"/>
        <w:rPr>
          <w:rFonts w:hint="default" w:ascii="Calibri" w:hAnsi="Calibri" w:cs="Calibri"/>
          <w:sz w:val="21"/>
          <w:szCs w:val="21"/>
        </w:rPr>
      </w:pPr>
      <w:r>
        <w:rPr>
          <w:rFonts w:hint="default" w:ascii="Calibri" w:hAnsi="Calibri" w:cs="Calibri"/>
          <w:sz w:val="21"/>
          <w:szCs w:val="21"/>
        </w:rPr>
        <w:t>Local, data, mes, ano.</w:t>
      </w:r>
    </w:p>
    <w:p w14:paraId="08BA0CE2">
      <w:pPr>
        <w:numPr>
          <w:ilvl w:val="0"/>
          <w:numId w:val="0"/>
        </w:numPr>
        <w:bidi w:val="0"/>
        <w:ind w:leftChars="0"/>
        <w:jc w:val="center"/>
        <w:rPr>
          <w:rFonts w:hint="default" w:ascii="Calibri" w:hAnsi="Calibri" w:cs="Calibri"/>
          <w:sz w:val="21"/>
          <w:szCs w:val="21"/>
        </w:rPr>
      </w:pPr>
    </w:p>
    <w:p w14:paraId="21342A8B">
      <w:pPr>
        <w:numPr>
          <w:ilvl w:val="0"/>
          <w:numId w:val="0"/>
        </w:numPr>
        <w:bidi w:val="0"/>
        <w:ind w:leftChars="0"/>
        <w:jc w:val="center"/>
        <w:rPr>
          <w:rFonts w:hint="default" w:ascii="Calibri" w:hAnsi="Calibri" w:cs="Calibri"/>
          <w:sz w:val="21"/>
          <w:szCs w:val="21"/>
        </w:rPr>
      </w:pPr>
    </w:p>
    <w:p w14:paraId="390E0104">
      <w:pPr>
        <w:numPr>
          <w:ilvl w:val="0"/>
          <w:numId w:val="0"/>
        </w:numPr>
        <w:bidi w:val="0"/>
        <w:ind w:leftChars="0"/>
        <w:jc w:val="center"/>
        <w:rPr>
          <w:rFonts w:hint="default" w:ascii="Calibri" w:hAnsi="Calibri" w:cs="Calibri"/>
          <w:sz w:val="21"/>
          <w:szCs w:val="21"/>
        </w:rPr>
      </w:pPr>
    </w:p>
    <w:p w14:paraId="0E9CC398">
      <w:pPr>
        <w:numPr>
          <w:ilvl w:val="0"/>
          <w:numId w:val="0"/>
        </w:numPr>
        <w:bidi w:val="0"/>
        <w:ind w:leftChars="0"/>
        <w:jc w:val="center"/>
        <w:rPr>
          <w:rFonts w:hint="default" w:ascii="Calibri" w:hAnsi="Calibri" w:cs="Calibri"/>
          <w:sz w:val="21"/>
          <w:szCs w:val="21"/>
        </w:rPr>
      </w:pPr>
    </w:p>
    <w:p w14:paraId="3A1511F7">
      <w:pPr>
        <w:numPr>
          <w:ilvl w:val="0"/>
          <w:numId w:val="0"/>
        </w:numPr>
        <w:bidi w:val="0"/>
        <w:ind w:leftChars="0"/>
        <w:jc w:val="center"/>
        <w:rPr>
          <w:rFonts w:hint="default" w:ascii="Calibri" w:hAnsi="Calibri" w:cs="Calibri"/>
          <w:sz w:val="21"/>
          <w:szCs w:val="21"/>
        </w:rPr>
        <w:sectPr>
          <w:pgSz w:w="11905" w:h="16838"/>
          <w:pgMar w:top="584" w:right="986" w:bottom="1134" w:left="1701" w:header="454" w:footer="0" w:gutter="0"/>
          <w:pgBorders>
            <w:top w:val="none" w:sz="0" w:space="0"/>
            <w:left w:val="none" w:sz="0" w:space="0"/>
            <w:bottom w:val="none" w:sz="0" w:space="0"/>
            <w:right w:val="none" w:sz="0" w:space="0"/>
          </w:pgBorders>
          <w:pgNumType w:fmt="decimal"/>
          <w:cols w:space="0" w:num="1"/>
          <w:rtlGutter w:val="0"/>
          <w:docGrid w:linePitch="326" w:charSpace="0"/>
        </w:sectPr>
      </w:pPr>
    </w:p>
    <w:p w14:paraId="67468D5B">
      <w:pPr>
        <w:pStyle w:val="131"/>
        <w:widowControl/>
        <w:jc w:val="center"/>
        <w:rPr>
          <w:rFonts w:hint="default" w:ascii="Calibri" w:hAnsi="Calibri" w:cs="Calibri"/>
          <w:b/>
          <w:sz w:val="21"/>
          <w:szCs w:val="21"/>
          <w:highlight w:val="lightGray"/>
          <w:lang w:val="pt-BR"/>
        </w:rPr>
      </w:pPr>
      <w:r>
        <w:rPr>
          <w:rFonts w:hint="default" w:ascii="Calibri" w:hAnsi="Calibri" w:cs="Calibri"/>
          <w:b/>
          <w:sz w:val="21"/>
          <w:szCs w:val="21"/>
          <w:highlight w:val="lightGray"/>
          <w:lang w:val="pt-BR"/>
        </w:rPr>
        <w:t>ANEXO VII</w:t>
      </w:r>
    </w:p>
    <w:p w14:paraId="41675018">
      <w:pPr>
        <w:pStyle w:val="131"/>
        <w:widowControl/>
        <w:jc w:val="center"/>
        <w:rPr>
          <w:rFonts w:hint="default" w:ascii="Calibri" w:hAnsi="Calibri" w:cs="Calibri"/>
          <w:b/>
          <w:sz w:val="21"/>
          <w:szCs w:val="21"/>
          <w:lang w:val="pt-BR"/>
        </w:rPr>
      </w:pPr>
      <w:r>
        <w:rPr>
          <w:rFonts w:hint="default" w:ascii="Calibri" w:hAnsi="Calibri" w:cs="Calibri"/>
          <w:b/>
          <w:sz w:val="21"/>
          <w:szCs w:val="21"/>
          <w:highlight w:val="lightGray"/>
          <w:lang w:val="pt-BR"/>
        </w:rPr>
        <w:t>CARTA-PROPOSTA PARA FORNECIMENTO</w:t>
      </w:r>
    </w:p>
    <w:p w14:paraId="5AC77A2E">
      <w:pPr>
        <w:pStyle w:val="131"/>
        <w:widowControl/>
        <w:jc w:val="both"/>
        <w:rPr>
          <w:rFonts w:hint="default" w:ascii="Calibri" w:hAnsi="Calibri" w:cs="Calibri"/>
          <w:b/>
          <w:sz w:val="21"/>
          <w:szCs w:val="21"/>
          <w:lang w:val="pt-BR"/>
        </w:rPr>
      </w:pPr>
    </w:p>
    <w:p w14:paraId="6BF10B1E">
      <w:pPr>
        <w:pStyle w:val="131"/>
        <w:widowControl/>
        <w:jc w:val="both"/>
        <w:rPr>
          <w:rFonts w:hint="default" w:ascii="Calibri" w:hAnsi="Calibri" w:cs="Calibri"/>
          <w:b/>
          <w:sz w:val="21"/>
          <w:szCs w:val="21"/>
          <w:lang w:val="pt-BR"/>
        </w:rPr>
      </w:pPr>
      <w:r>
        <w:rPr>
          <w:rFonts w:hint="default" w:ascii="Calibri" w:hAnsi="Calibri" w:cs="Calibri"/>
          <w:b/>
          <w:sz w:val="21"/>
          <w:szCs w:val="21"/>
          <w:lang w:val="pt-BR"/>
        </w:rPr>
        <w:t>Observação importante</w:t>
      </w:r>
      <w:r>
        <w:rPr>
          <w:rFonts w:hint="default" w:ascii="Calibri" w:hAnsi="Calibri" w:cs="Calibri"/>
          <w:sz w:val="21"/>
          <w:szCs w:val="21"/>
          <w:lang w:val="pt-BR"/>
        </w:rPr>
        <w:t>:</w:t>
      </w:r>
      <w:r>
        <w:rPr>
          <w:rFonts w:hint="default" w:ascii="Calibri" w:hAnsi="Calibri" w:cs="Calibri"/>
          <w:b/>
          <w:sz w:val="21"/>
          <w:szCs w:val="21"/>
          <w:lang w:val="pt-BR"/>
        </w:rPr>
        <w:t xml:space="preserve"> </w:t>
      </w:r>
      <w:r>
        <w:rPr>
          <w:rFonts w:hint="default" w:ascii="Calibri" w:hAnsi="Calibri" w:cs="Calibri"/>
          <w:sz w:val="21"/>
          <w:szCs w:val="21"/>
          <w:lang w:val="pt-BR"/>
        </w:rPr>
        <w:t xml:space="preserve">a carta proposta deverá ser encaminhada somente pelo vencedor, juntamente com a documentação de habilitação, após a realização do pregão, com o preço devidamente ajustado ao valor de fechamento da operação.  </w:t>
      </w:r>
      <w:r>
        <w:rPr>
          <w:rFonts w:hint="default" w:ascii="Calibri" w:hAnsi="Calibri" w:cs="Calibri"/>
          <w:b/>
          <w:sz w:val="21"/>
          <w:szCs w:val="21"/>
          <w:lang w:val="pt-BR"/>
        </w:rPr>
        <w:t>Não é necessária a apresentação da carta proposta antes da realização do pregão</w:t>
      </w:r>
      <w:r>
        <w:rPr>
          <w:rFonts w:hint="default" w:ascii="Calibri" w:hAnsi="Calibri" w:cs="Calibri"/>
          <w:sz w:val="21"/>
          <w:szCs w:val="21"/>
          <w:lang w:val="pt-BR"/>
        </w:rPr>
        <w:t xml:space="preserve">, como forma de ficha técnica, pois transgride a legislação vigente na medida em que o Pregoeiro toma conhecimento dos nomes dos participantes antes da fase competitiva do pregão.  </w:t>
      </w:r>
    </w:p>
    <w:p w14:paraId="2E04604C">
      <w:pPr>
        <w:pStyle w:val="131"/>
        <w:widowControl/>
        <w:tabs>
          <w:tab w:val="left" w:pos="567"/>
        </w:tabs>
        <w:ind w:left="567" w:hanging="567"/>
        <w:jc w:val="both"/>
        <w:rPr>
          <w:rFonts w:hint="default" w:ascii="Calibri" w:hAnsi="Calibri" w:cs="Calibri"/>
          <w:sz w:val="21"/>
          <w:szCs w:val="21"/>
          <w:lang w:val="pt-BR"/>
        </w:rPr>
      </w:pPr>
    </w:p>
    <w:p w14:paraId="3B40A14C">
      <w:pPr>
        <w:pStyle w:val="131"/>
        <w:widowControl/>
        <w:tabs>
          <w:tab w:val="left" w:pos="567"/>
        </w:tabs>
        <w:spacing w:line="300" w:lineRule="atLeast"/>
        <w:ind w:left="567" w:hanging="567"/>
        <w:jc w:val="both"/>
        <w:rPr>
          <w:rFonts w:hint="default" w:ascii="Calibri" w:hAnsi="Calibri" w:cs="Calibri"/>
          <w:b/>
          <w:sz w:val="21"/>
          <w:szCs w:val="21"/>
          <w:lang w:val="pt-BR"/>
        </w:rPr>
      </w:pPr>
      <w:r>
        <w:rPr>
          <w:rFonts w:hint="default" w:ascii="Calibri" w:hAnsi="Calibri" w:cs="Calibri"/>
          <w:b/>
          <w:sz w:val="21"/>
          <w:szCs w:val="21"/>
          <w:lang w:val="pt-BR"/>
        </w:rPr>
        <w:t>Modelo de proposta</w:t>
      </w:r>
    </w:p>
    <w:p w14:paraId="7B13F0ED">
      <w:pPr>
        <w:pStyle w:val="131"/>
        <w:widowControl/>
        <w:tabs>
          <w:tab w:val="left" w:pos="567"/>
        </w:tabs>
        <w:spacing w:line="300" w:lineRule="atLeast"/>
        <w:ind w:left="567" w:hanging="567"/>
        <w:jc w:val="both"/>
        <w:rPr>
          <w:rFonts w:hint="default" w:ascii="Calibri" w:hAnsi="Calibri" w:cs="Calibri"/>
          <w:b/>
          <w:sz w:val="21"/>
          <w:szCs w:val="21"/>
          <w:lang w:val="pt-BR"/>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9823"/>
      </w:tblGrid>
      <w:tr w14:paraId="44E4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08" w:type="dxa"/>
            <w:gridSpan w:val="2"/>
            <w:shd w:val="clear" w:color="auto" w:fill="911527"/>
            <w:noWrap w:val="0"/>
            <w:vAlign w:val="top"/>
          </w:tcPr>
          <w:p w14:paraId="2292DD92">
            <w:pPr>
              <w:spacing w:line="276" w:lineRule="auto"/>
              <w:ind w:right="567"/>
              <w:rPr>
                <w:rFonts w:hint="default" w:ascii="Calibri" w:hAnsi="Calibri" w:cs="Calibri"/>
                <w:sz w:val="21"/>
                <w:szCs w:val="21"/>
              </w:rPr>
            </w:pPr>
            <w:r>
              <w:rPr>
                <w:rFonts w:hint="default" w:ascii="Calibri" w:hAnsi="Calibri" w:cs="Calibri"/>
                <w:b/>
                <w:bCs/>
                <w:sz w:val="21"/>
                <w:szCs w:val="21"/>
              </w:rPr>
              <w:t>DADOS DO PROPONENTE</w:t>
            </w:r>
          </w:p>
        </w:tc>
      </w:tr>
      <w:tr w14:paraId="533C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0AF57333">
            <w:pPr>
              <w:spacing w:line="276" w:lineRule="auto"/>
              <w:ind w:right="567"/>
              <w:rPr>
                <w:rFonts w:hint="default" w:ascii="Calibri" w:hAnsi="Calibri" w:cs="Calibri"/>
                <w:sz w:val="21"/>
                <w:szCs w:val="21"/>
              </w:rPr>
            </w:pPr>
            <w:r>
              <w:rPr>
                <w:rFonts w:hint="default" w:ascii="Calibri" w:hAnsi="Calibri" w:cs="Calibri"/>
                <w:sz w:val="21"/>
                <w:szCs w:val="21"/>
              </w:rPr>
              <w:t>RAZÃO SOCIAL:</w:t>
            </w:r>
          </w:p>
        </w:tc>
        <w:tc>
          <w:tcPr>
            <w:tcW w:w="9823" w:type="dxa"/>
            <w:noWrap w:val="0"/>
            <w:vAlign w:val="top"/>
          </w:tcPr>
          <w:p w14:paraId="34FF6F34">
            <w:pPr>
              <w:spacing w:line="276" w:lineRule="auto"/>
              <w:ind w:right="567"/>
              <w:rPr>
                <w:rFonts w:hint="default" w:ascii="Calibri" w:hAnsi="Calibri" w:cs="Calibri"/>
                <w:sz w:val="21"/>
                <w:szCs w:val="21"/>
              </w:rPr>
            </w:pPr>
          </w:p>
        </w:tc>
      </w:tr>
      <w:tr w14:paraId="2A06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19C4E4B5">
            <w:pPr>
              <w:spacing w:line="276" w:lineRule="auto"/>
              <w:ind w:right="567"/>
              <w:rPr>
                <w:rFonts w:hint="default" w:ascii="Calibri" w:hAnsi="Calibri" w:cs="Calibri"/>
                <w:sz w:val="21"/>
                <w:szCs w:val="21"/>
              </w:rPr>
            </w:pPr>
            <w:r>
              <w:rPr>
                <w:rFonts w:hint="default" w:ascii="Calibri" w:hAnsi="Calibri" w:cs="Calibri"/>
                <w:sz w:val="21"/>
                <w:szCs w:val="21"/>
              </w:rPr>
              <w:t>ENDEREÇO COMPLETO:</w:t>
            </w:r>
          </w:p>
        </w:tc>
        <w:tc>
          <w:tcPr>
            <w:tcW w:w="9823" w:type="dxa"/>
            <w:noWrap w:val="0"/>
            <w:vAlign w:val="top"/>
          </w:tcPr>
          <w:p w14:paraId="25C5268B">
            <w:pPr>
              <w:spacing w:line="276" w:lineRule="auto"/>
              <w:ind w:right="567"/>
              <w:rPr>
                <w:rFonts w:hint="default" w:ascii="Calibri" w:hAnsi="Calibri" w:cs="Calibri"/>
                <w:sz w:val="21"/>
                <w:szCs w:val="21"/>
              </w:rPr>
            </w:pPr>
          </w:p>
        </w:tc>
      </w:tr>
      <w:tr w14:paraId="33D4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6C407D9C">
            <w:pPr>
              <w:spacing w:line="276" w:lineRule="auto"/>
              <w:ind w:right="567"/>
              <w:rPr>
                <w:rFonts w:hint="default" w:ascii="Calibri" w:hAnsi="Calibri" w:cs="Calibri"/>
                <w:sz w:val="21"/>
                <w:szCs w:val="21"/>
              </w:rPr>
            </w:pPr>
            <w:r>
              <w:rPr>
                <w:rFonts w:hint="default" w:ascii="Calibri" w:hAnsi="Calibri" w:cs="Calibri"/>
                <w:sz w:val="21"/>
                <w:szCs w:val="21"/>
              </w:rPr>
              <w:t>C.N.P.J.</w:t>
            </w:r>
          </w:p>
        </w:tc>
        <w:tc>
          <w:tcPr>
            <w:tcW w:w="9823" w:type="dxa"/>
            <w:noWrap w:val="0"/>
            <w:vAlign w:val="top"/>
          </w:tcPr>
          <w:p w14:paraId="11E4ED4A">
            <w:pPr>
              <w:spacing w:line="276" w:lineRule="auto"/>
              <w:ind w:right="567"/>
              <w:rPr>
                <w:rFonts w:hint="default" w:ascii="Calibri" w:hAnsi="Calibri" w:cs="Calibri"/>
                <w:sz w:val="21"/>
                <w:szCs w:val="21"/>
              </w:rPr>
            </w:pPr>
          </w:p>
        </w:tc>
      </w:tr>
      <w:tr w14:paraId="5F19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3CEC9F1B">
            <w:pPr>
              <w:spacing w:line="276" w:lineRule="auto"/>
              <w:ind w:right="567"/>
              <w:rPr>
                <w:rFonts w:hint="default" w:ascii="Calibri" w:hAnsi="Calibri" w:cs="Calibri"/>
                <w:sz w:val="21"/>
                <w:szCs w:val="21"/>
              </w:rPr>
            </w:pPr>
            <w:r>
              <w:rPr>
                <w:rFonts w:hint="default" w:ascii="Calibri" w:hAnsi="Calibri" w:cs="Calibri"/>
                <w:sz w:val="21"/>
                <w:szCs w:val="21"/>
              </w:rPr>
              <w:t>INSC. ESTADUAL:</w:t>
            </w:r>
          </w:p>
        </w:tc>
        <w:tc>
          <w:tcPr>
            <w:tcW w:w="9823" w:type="dxa"/>
            <w:noWrap w:val="0"/>
            <w:vAlign w:val="top"/>
          </w:tcPr>
          <w:p w14:paraId="5C03C722">
            <w:pPr>
              <w:spacing w:line="276" w:lineRule="auto"/>
              <w:ind w:right="567"/>
              <w:rPr>
                <w:rFonts w:hint="default" w:ascii="Calibri" w:hAnsi="Calibri" w:cs="Calibri"/>
                <w:sz w:val="21"/>
                <w:szCs w:val="21"/>
              </w:rPr>
            </w:pPr>
          </w:p>
        </w:tc>
      </w:tr>
      <w:tr w14:paraId="5A8B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2B1A1751">
            <w:pPr>
              <w:spacing w:line="276" w:lineRule="auto"/>
              <w:ind w:right="567"/>
              <w:rPr>
                <w:rFonts w:hint="default" w:ascii="Calibri" w:hAnsi="Calibri" w:cs="Calibri"/>
                <w:sz w:val="21"/>
                <w:szCs w:val="21"/>
              </w:rPr>
            </w:pPr>
            <w:r>
              <w:rPr>
                <w:rFonts w:hint="default" w:ascii="Calibri" w:hAnsi="Calibri" w:cs="Calibri"/>
                <w:sz w:val="21"/>
                <w:szCs w:val="21"/>
              </w:rPr>
              <w:t>CIDADE / ESTADO:</w:t>
            </w:r>
          </w:p>
        </w:tc>
        <w:tc>
          <w:tcPr>
            <w:tcW w:w="9823" w:type="dxa"/>
            <w:noWrap w:val="0"/>
            <w:vAlign w:val="top"/>
          </w:tcPr>
          <w:p w14:paraId="4F6E84E9">
            <w:pPr>
              <w:spacing w:line="276" w:lineRule="auto"/>
              <w:ind w:right="567"/>
              <w:rPr>
                <w:rFonts w:hint="default" w:ascii="Calibri" w:hAnsi="Calibri" w:cs="Calibri"/>
                <w:sz w:val="21"/>
                <w:szCs w:val="21"/>
              </w:rPr>
            </w:pPr>
          </w:p>
        </w:tc>
      </w:tr>
      <w:tr w14:paraId="5921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7BB2E304">
            <w:pPr>
              <w:spacing w:line="276" w:lineRule="auto"/>
              <w:ind w:right="567"/>
              <w:rPr>
                <w:rFonts w:hint="default" w:ascii="Calibri" w:hAnsi="Calibri" w:cs="Calibri"/>
                <w:sz w:val="21"/>
                <w:szCs w:val="21"/>
                <w:lang w:val="pt-BR"/>
              </w:rPr>
            </w:pPr>
            <w:r>
              <w:rPr>
                <w:rFonts w:hint="default" w:ascii="Calibri" w:hAnsi="Calibri" w:cs="Calibri"/>
                <w:sz w:val="21"/>
                <w:szCs w:val="21"/>
              </w:rPr>
              <w:t>CEP</w:t>
            </w:r>
            <w:r>
              <w:rPr>
                <w:rFonts w:hint="default" w:ascii="Calibri" w:hAnsi="Calibri" w:cs="Calibri"/>
                <w:sz w:val="21"/>
                <w:szCs w:val="21"/>
                <w:lang w:val="pt-BR"/>
              </w:rPr>
              <w:t>:</w:t>
            </w:r>
          </w:p>
        </w:tc>
        <w:tc>
          <w:tcPr>
            <w:tcW w:w="9823" w:type="dxa"/>
            <w:noWrap w:val="0"/>
            <w:vAlign w:val="top"/>
          </w:tcPr>
          <w:p w14:paraId="5DE781DE">
            <w:pPr>
              <w:spacing w:line="276" w:lineRule="auto"/>
              <w:ind w:right="567"/>
              <w:rPr>
                <w:rFonts w:hint="default" w:ascii="Calibri" w:hAnsi="Calibri" w:cs="Calibri"/>
                <w:sz w:val="21"/>
                <w:szCs w:val="21"/>
              </w:rPr>
            </w:pPr>
          </w:p>
        </w:tc>
      </w:tr>
      <w:tr w14:paraId="7DED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85" w:type="dxa"/>
            <w:noWrap w:val="0"/>
            <w:vAlign w:val="top"/>
          </w:tcPr>
          <w:p w14:paraId="2FA2D8E9">
            <w:pPr>
              <w:spacing w:line="276" w:lineRule="auto"/>
              <w:ind w:right="567"/>
              <w:rPr>
                <w:rFonts w:hint="default" w:ascii="Calibri" w:hAnsi="Calibri" w:cs="Calibri"/>
                <w:sz w:val="21"/>
                <w:szCs w:val="21"/>
              </w:rPr>
            </w:pPr>
            <w:r>
              <w:rPr>
                <w:rFonts w:hint="default" w:ascii="Calibri" w:hAnsi="Calibri" w:cs="Calibri"/>
                <w:sz w:val="21"/>
                <w:szCs w:val="21"/>
              </w:rPr>
              <w:t>EMAIL / FONE:</w:t>
            </w:r>
          </w:p>
        </w:tc>
        <w:tc>
          <w:tcPr>
            <w:tcW w:w="9823" w:type="dxa"/>
            <w:noWrap w:val="0"/>
            <w:vAlign w:val="top"/>
          </w:tcPr>
          <w:p w14:paraId="43467FCB">
            <w:pPr>
              <w:spacing w:line="276" w:lineRule="auto"/>
              <w:ind w:right="567"/>
              <w:rPr>
                <w:rFonts w:hint="default" w:ascii="Calibri" w:hAnsi="Calibri" w:cs="Calibri"/>
                <w:sz w:val="21"/>
                <w:szCs w:val="21"/>
              </w:rPr>
            </w:pPr>
          </w:p>
        </w:tc>
      </w:tr>
      <w:tr w14:paraId="5D20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1F6BE2F6">
            <w:pPr>
              <w:spacing w:line="276" w:lineRule="auto"/>
              <w:ind w:right="567"/>
              <w:rPr>
                <w:rFonts w:hint="default" w:ascii="Calibri" w:hAnsi="Calibri" w:cs="Calibri"/>
                <w:sz w:val="21"/>
                <w:szCs w:val="21"/>
                <w:lang w:val="pt-BR"/>
              </w:rPr>
            </w:pPr>
            <w:r>
              <w:rPr>
                <w:rFonts w:hint="default" w:ascii="Calibri" w:hAnsi="Calibri" w:cs="Calibri"/>
                <w:sz w:val="21"/>
                <w:szCs w:val="21"/>
              </w:rPr>
              <w:t>NOME DO REP.</w:t>
            </w:r>
            <w:r>
              <w:rPr>
                <w:rFonts w:hint="default" w:ascii="Calibri" w:hAnsi="Calibri" w:cs="Calibri"/>
                <w:sz w:val="21"/>
                <w:szCs w:val="21"/>
                <w:lang w:val="pt-BR"/>
              </w:rPr>
              <w:t>LEGAL</w:t>
            </w:r>
          </w:p>
        </w:tc>
        <w:tc>
          <w:tcPr>
            <w:tcW w:w="9823" w:type="dxa"/>
            <w:noWrap w:val="0"/>
            <w:vAlign w:val="top"/>
          </w:tcPr>
          <w:p w14:paraId="1EA39AF3">
            <w:pPr>
              <w:spacing w:line="276" w:lineRule="auto"/>
              <w:ind w:right="567"/>
              <w:rPr>
                <w:rFonts w:hint="default" w:ascii="Calibri" w:hAnsi="Calibri" w:cs="Calibri"/>
                <w:sz w:val="21"/>
                <w:szCs w:val="21"/>
              </w:rPr>
            </w:pPr>
          </w:p>
        </w:tc>
      </w:tr>
      <w:tr w14:paraId="5C9E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7B77FC85">
            <w:pPr>
              <w:spacing w:line="276" w:lineRule="auto"/>
              <w:ind w:right="567"/>
              <w:rPr>
                <w:rFonts w:hint="default" w:ascii="Calibri" w:hAnsi="Calibri" w:cs="Calibri"/>
                <w:sz w:val="21"/>
                <w:szCs w:val="21"/>
              </w:rPr>
            </w:pPr>
            <w:r>
              <w:rPr>
                <w:rFonts w:hint="default" w:ascii="Calibri" w:hAnsi="Calibri" w:cs="Calibri"/>
                <w:sz w:val="21"/>
                <w:szCs w:val="21"/>
              </w:rPr>
              <w:t>RG / Nº</w:t>
            </w:r>
          </w:p>
        </w:tc>
        <w:tc>
          <w:tcPr>
            <w:tcW w:w="9823" w:type="dxa"/>
            <w:noWrap w:val="0"/>
            <w:vAlign w:val="top"/>
          </w:tcPr>
          <w:p w14:paraId="22F2A0D2">
            <w:pPr>
              <w:spacing w:line="276" w:lineRule="auto"/>
              <w:ind w:right="567"/>
              <w:rPr>
                <w:rFonts w:hint="default" w:ascii="Calibri" w:hAnsi="Calibri" w:cs="Calibri"/>
                <w:sz w:val="21"/>
                <w:szCs w:val="21"/>
              </w:rPr>
            </w:pPr>
          </w:p>
        </w:tc>
      </w:tr>
      <w:tr w14:paraId="75BB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61CD5C85">
            <w:pPr>
              <w:spacing w:line="276" w:lineRule="auto"/>
              <w:ind w:right="567"/>
              <w:rPr>
                <w:rFonts w:hint="default" w:ascii="Calibri" w:hAnsi="Calibri" w:cs="Calibri"/>
                <w:sz w:val="21"/>
                <w:szCs w:val="21"/>
              </w:rPr>
            </w:pPr>
            <w:r>
              <w:rPr>
                <w:rFonts w:hint="default" w:ascii="Calibri" w:hAnsi="Calibri" w:cs="Calibri"/>
                <w:sz w:val="21"/>
                <w:szCs w:val="21"/>
              </w:rPr>
              <w:t>CPF / MF Nº</w:t>
            </w:r>
          </w:p>
        </w:tc>
        <w:tc>
          <w:tcPr>
            <w:tcW w:w="9823" w:type="dxa"/>
            <w:noWrap w:val="0"/>
            <w:vAlign w:val="top"/>
          </w:tcPr>
          <w:p w14:paraId="0EA60342">
            <w:pPr>
              <w:spacing w:line="276" w:lineRule="auto"/>
              <w:ind w:right="567"/>
              <w:rPr>
                <w:rFonts w:hint="default" w:ascii="Calibri" w:hAnsi="Calibri" w:cs="Calibri"/>
                <w:sz w:val="21"/>
                <w:szCs w:val="21"/>
              </w:rPr>
            </w:pPr>
          </w:p>
        </w:tc>
      </w:tr>
      <w:tr w14:paraId="3BAE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5B988B7D">
            <w:pPr>
              <w:spacing w:line="276" w:lineRule="auto"/>
              <w:ind w:right="567"/>
              <w:rPr>
                <w:rFonts w:hint="default" w:ascii="Calibri" w:hAnsi="Calibri" w:cs="Calibri"/>
                <w:sz w:val="21"/>
                <w:szCs w:val="21"/>
              </w:rPr>
            </w:pPr>
            <w:r>
              <w:rPr>
                <w:rFonts w:hint="default" w:ascii="Calibri" w:hAnsi="Calibri" w:cs="Calibri"/>
                <w:sz w:val="21"/>
                <w:szCs w:val="21"/>
              </w:rPr>
              <w:t>ENDEREÇO:</w:t>
            </w:r>
          </w:p>
        </w:tc>
        <w:tc>
          <w:tcPr>
            <w:tcW w:w="9823" w:type="dxa"/>
            <w:noWrap w:val="0"/>
            <w:vAlign w:val="top"/>
          </w:tcPr>
          <w:p w14:paraId="3FF288BF">
            <w:pPr>
              <w:spacing w:line="276" w:lineRule="auto"/>
              <w:ind w:right="567"/>
              <w:rPr>
                <w:rFonts w:hint="default" w:ascii="Calibri" w:hAnsi="Calibri" w:cs="Calibri"/>
                <w:sz w:val="21"/>
                <w:szCs w:val="21"/>
              </w:rPr>
            </w:pPr>
          </w:p>
        </w:tc>
      </w:tr>
      <w:tr w14:paraId="5914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85" w:type="dxa"/>
            <w:noWrap w:val="0"/>
            <w:vAlign w:val="top"/>
          </w:tcPr>
          <w:p w14:paraId="2FE569E6">
            <w:pPr>
              <w:spacing w:line="276" w:lineRule="auto"/>
              <w:ind w:right="567" w:rightChars="0"/>
              <w:rPr>
                <w:rFonts w:hint="default" w:ascii="Calibri" w:hAnsi="Calibri" w:cs="Calibri"/>
                <w:sz w:val="21"/>
                <w:szCs w:val="21"/>
              </w:rPr>
            </w:pPr>
            <w:r>
              <w:rPr>
                <w:rFonts w:hint="default" w:ascii="Calibri" w:hAnsi="Calibri" w:cs="Calibri"/>
                <w:sz w:val="21"/>
                <w:szCs w:val="21"/>
              </w:rPr>
              <w:t>CIDADE / ESTADO:</w:t>
            </w:r>
          </w:p>
        </w:tc>
        <w:tc>
          <w:tcPr>
            <w:tcW w:w="9823" w:type="dxa"/>
            <w:noWrap w:val="0"/>
            <w:vAlign w:val="top"/>
          </w:tcPr>
          <w:p w14:paraId="1FCCCB5B">
            <w:pPr>
              <w:spacing w:line="276" w:lineRule="auto"/>
              <w:ind w:right="567"/>
              <w:rPr>
                <w:rFonts w:hint="default" w:ascii="Calibri" w:hAnsi="Calibri" w:cs="Calibri"/>
                <w:sz w:val="21"/>
                <w:szCs w:val="21"/>
              </w:rPr>
            </w:pPr>
          </w:p>
        </w:tc>
      </w:tr>
      <w:tr w14:paraId="460B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788EEDD4">
            <w:pPr>
              <w:spacing w:line="276" w:lineRule="auto"/>
              <w:ind w:right="567" w:rightChars="0"/>
              <w:rPr>
                <w:rFonts w:hint="default" w:ascii="Calibri" w:hAnsi="Calibri" w:cs="Calibri"/>
                <w:sz w:val="21"/>
                <w:szCs w:val="21"/>
              </w:rPr>
            </w:pPr>
            <w:r>
              <w:rPr>
                <w:rFonts w:hint="default" w:ascii="Calibri" w:hAnsi="Calibri" w:cs="Calibri"/>
                <w:sz w:val="21"/>
                <w:szCs w:val="21"/>
              </w:rPr>
              <w:t>CEP</w:t>
            </w:r>
            <w:r>
              <w:rPr>
                <w:rFonts w:hint="default" w:ascii="Calibri" w:hAnsi="Calibri" w:cs="Calibri"/>
                <w:sz w:val="21"/>
                <w:szCs w:val="21"/>
                <w:lang w:val="pt-BR"/>
              </w:rPr>
              <w:t>:</w:t>
            </w:r>
          </w:p>
        </w:tc>
        <w:tc>
          <w:tcPr>
            <w:tcW w:w="9823" w:type="dxa"/>
            <w:noWrap w:val="0"/>
            <w:vAlign w:val="top"/>
          </w:tcPr>
          <w:p w14:paraId="46563AD3">
            <w:pPr>
              <w:spacing w:line="276" w:lineRule="auto"/>
              <w:ind w:right="567"/>
              <w:rPr>
                <w:rFonts w:hint="default" w:ascii="Calibri" w:hAnsi="Calibri" w:cs="Calibri"/>
                <w:sz w:val="21"/>
                <w:szCs w:val="21"/>
              </w:rPr>
            </w:pPr>
          </w:p>
        </w:tc>
      </w:tr>
      <w:tr w14:paraId="4545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25254D98">
            <w:pPr>
              <w:spacing w:line="276" w:lineRule="auto"/>
              <w:ind w:right="567"/>
              <w:rPr>
                <w:rFonts w:hint="default" w:ascii="Calibri" w:hAnsi="Calibri" w:cs="Calibri"/>
                <w:sz w:val="21"/>
                <w:szCs w:val="21"/>
              </w:rPr>
            </w:pPr>
            <w:r>
              <w:rPr>
                <w:rFonts w:hint="default" w:ascii="Calibri" w:hAnsi="Calibri" w:cs="Calibri"/>
                <w:sz w:val="21"/>
                <w:szCs w:val="21"/>
              </w:rPr>
              <w:t>EMAIL:</w:t>
            </w:r>
          </w:p>
        </w:tc>
        <w:tc>
          <w:tcPr>
            <w:tcW w:w="9823" w:type="dxa"/>
            <w:noWrap w:val="0"/>
            <w:vAlign w:val="top"/>
          </w:tcPr>
          <w:p w14:paraId="344FE8B2">
            <w:pPr>
              <w:spacing w:line="276" w:lineRule="auto"/>
              <w:ind w:right="567"/>
              <w:rPr>
                <w:rFonts w:hint="default" w:ascii="Calibri" w:hAnsi="Calibri" w:cs="Calibri"/>
                <w:sz w:val="21"/>
                <w:szCs w:val="21"/>
              </w:rPr>
            </w:pPr>
          </w:p>
        </w:tc>
      </w:tr>
      <w:tr w14:paraId="126D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07958865">
            <w:pPr>
              <w:spacing w:line="276" w:lineRule="auto"/>
              <w:ind w:right="567"/>
              <w:rPr>
                <w:rFonts w:hint="default" w:ascii="Calibri" w:hAnsi="Calibri" w:cs="Calibri"/>
                <w:sz w:val="21"/>
                <w:szCs w:val="21"/>
              </w:rPr>
            </w:pPr>
            <w:r>
              <w:rPr>
                <w:rFonts w:hint="default" w:ascii="Calibri" w:hAnsi="Calibri" w:cs="Calibri"/>
                <w:sz w:val="21"/>
                <w:szCs w:val="21"/>
              </w:rPr>
              <w:t>DATA DE NASCIMENTO:</w:t>
            </w:r>
          </w:p>
        </w:tc>
        <w:tc>
          <w:tcPr>
            <w:tcW w:w="9823" w:type="dxa"/>
            <w:noWrap w:val="0"/>
            <w:vAlign w:val="top"/>
          </w:tcPr>
          <w:p w14:paraId="52B914C6">
            <w:pPr>
              <w:spacing w:line="276" w:lineRule="auto"/>
              <w:ind w:right="567"/>
              <w:rPr>
                <w:rFonts w:hint="default" w:ascii="Calibri" w:hAnsi="Calibri" w:cs="Calibri"/>
                <w:sz w:val="21"/>
                <w:szCs w:val="21"/>
              </w:rPr>
            </w:pPr>
          </w:p>
        </w:tc>
      </w:tr>
      <w:tr w14:paraId="4090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5107E855">
            <w:pPr>
              <w:spacing w:line="276" w:lineRule="auto"/>
              <w:ind w:right="-108"/>
              <w:rPr>
                <w:rFonts w:hint="default" w:ascii="Calibri" w:hAnsi="Calibri" w:cs="Calibri"/>
                <w:sz w:val="21"/>
                <w:szCs w:val="21"/>
              </w:rPr>
            </w:pPr>
            <w:r>
              <w:rPr>
                <w:rFonts w:hint="default" w:ascii="Calibri" w:hAnsi="Calibri" w:cs="Calibri"/>
                <w:sz w:val="21"/>
                <w:szCs w:val="21"/>
              </w:rPr>
              <w:t>DADOS BANCÁRIOS EMPRESA:</w:t>
            </w:r>
          </w:p>
        </w:tc>
        <w:tc>
          <w:tcPr>
            <w:tcW w:w="9823" w:type="dxa"/>
            <w:noWrap w:val="0"/>
            <w:vAlign w:val="top"/>
          </w:tcPr>
          <w:p w14:paraId="2E5BBD2D">
            <w:pPr>
              <w:spacing w:line="276" w:lineRule="auto"/>
              <w:ind w:right="567"/>
              <w:rPr>
                <w:rFonts w:hint="default" w:ascii="Calibri" w:hAnsi="Calibri" w:cs="Calibri"/>
                <w:sz w:val="21"/>
                <w:szCs w:val="21"/>
              </w:rPr>
            </w:pPr>
          </w:p>
        </w:tc>
      </w:tr>
      <w:tr w14:paraId="032B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383646E1">
            <w:pPr>
              <w:spacing w:line="276" w:lineRule="auto"/>
              <w:ind w:right="567"/>
              <w:rPr>
                <w:rFonts w:hint="default" w:ascii="Calibri" w:hAnsi="Calibri" w:cs="Calibri"/>
                <w:sz w:val="21"/>
                <w:szCs w:val="21"/>
              </w:rPr>
            </w:pPr>
            <w:r>
              <w:rPr>
                <w:rFonts w:hint="default" w:ascii="Calibri" w:hAnsi="Calibri" w:cs="Calibri"/>
                <w:sz w:val="21"/>
                <w:szCs w:val="21"/>
              </w:rPr>
              <w:t>BANCO:</w:t>
            </w:r>
          </w:p>
        </w:tc>
        <w:tc>
          <w:tcPr>
            <w:tcW w:w="9823" w:type="dxa"/>
            <w:noWrap w:val="0"/>
            <w:vAlign w:val="top"/>
          </w:tcPr>
          <w:p w14:paraId="10C2A534">
            <w:pPr>
              <w:spacing w:line="276" w:lineRule="auto"/>
              <w:ind w:right="567"/>
              <w:rPr>
                <w:rFonts w:hint="default" w:ascii="Calibri" w:hAnsi="Calibri" w:cs="Calibri"/>
                <w:sz w:val="21"/>
                <w:szCs w:val="21"/>
              </w:rPr>
            </w:pPr>
          </w:p>
        </w:tc>
      </w:tr>
      <w:tr w14:paraId="2C06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4F987DDD">
            <w:pPr>
              <w:spacing w:line="276" w:lineRule="auto"/>
              <w:ind w:right="567"/>
              <w:rPr>
                <w:rFonts w:hint="default" w:ascii="Calibri" w:hAnsi="Calibri" w:cs="Calibri"/>
                <w:sz w:val="21"/>
                <w:szCs w:val="21"/>
              </w:rPr>
            </w:pPr>
            <w:r>
              <w:rPr>
                <w:rFonts w:hint="default" w:ascii="Calibri" w:hAnsi="Calibri" w:cs="Calibri"/>
                <w:sz w:val="21"/>
                <w:szCs w:val="21"/>
              </w:rPr>
              <w:t>AGENCIA:</w:t>
            </w:r>
          </w:p>
        </w:tc>
        <w:tc>
          <w:tcPr>
            <w:tcW w:w="9823" w:type="dxa"/>
            <w:noWrap w:val="0"/>
            <w:vAlign w:val="top"/>
          </w:tcPr>
          <w:p w14:paraId="29D1B400">
            <w:pPr>
              <w:spacing w:line="276" w:lineRule="auto"/>
              <w:ind w:right="567"/>
              <w:rPr>
                <w:rFonts w:hint="default" w:ascii="Calibri" w:hAnsi="Calibri" w:cs="Calibri"/>
                <w:sz w:val="21"/>
                <w:szCs w:val="21"/>
              </w:rPr>
            </w:pPr>
          </w:p>
        </w:tc>
      </w:tr>
      <w:tr w14:paraId="0A52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noWrap w:val="0"/>
            <w:vAlign w:val="top"/>
          </w:tcPr>
          <w:p w14:paraId="5E9D8ED3">
            <w:pPr>
              <w:spacing w:line="276" w:lineRule="auto"/>
              <w:ind w:right="567"/>
              <w:rPr>
                <w:rFonts w:hint="default" w:ascii="Calibri" w:hAnsi="Calibri" w:cs="Calibri"/>
                <w:sz w:val="21"/>
                <w:szCs w:val="21"/>
              </w:rPr>
            </w:pPr>
            <w:r>
              <w:rPr>
                <w:rFonts w:hint="default" w:ascii="Calibri" w:hAnsi="Calibri" w:cs="Calibri"/>
                <w:sz w:val="21"/>
                <w:szCs w:val="21"/>
              </w:rPr>
              <w:t>CONTA CORRENTE:</w:t>
            </w:r>
          </w:p>
        </w:tc>
        <w:tc>
          <w:tcPr>
            <w:tcW w:w="9823" w:type="dxa"/>
            <w:noWrap w:val="0"/>
            <w:vAlign w:val="top"/>
          </w:tcPr>
          <w:p w14:paraId="517EE149">
            <w:pPr>
              <w:spacing w:line="276" w:lineRule="auto"/>
              <w:ind w:right="567"/>
              <w:rPr>
                <w:rFonts w:hint="default" w:ascii="Calibri" w:hAnsi="Calibri" w:cs="Calibri"/>
                <w:sz w:val="21"/>
                <w:szCs w:val="21"/>
              </w:rPr>
            </w:pPr>
          </w:p>
        </w:tc>
      </w:tr>
    </w:tbl>
    <w:p w14:paraId="252DB608">
      <w:pPr>
        <w:pStyle w:val="131"/>
        <w:widowControl/>
        <w:tabs>
          <w:tab w:val="left" w:pos="567"/>
        </w:tabs>
        <w:ind w:left="567" w:hanging="567"/>
        <w:jc w:val="both"/>
        <w:rPr>
          <w:rFonts w:hint="default" w:ascii="Calibri" w:hAnsi="Calibri" w:cs="Calibri"/>
          <w:sz w:val="21"/>
          <w:szCs w:val="21"/>
          <w:lang w:val="pt-BR"/>
        </w:rPr>
      </w:pPr>
    </w:p>
    <w:p w14:paraId="4609275C">
      <w:pPr>
        <w:pStyle w:val="131"/>
        <w:widowControl/>
        <w:tabs>
          <w:tab w:val="left" w:pos="567"/>
        </w:tabs>
        <w:spacing w:line="300" w:lineRule="atLeast"/>
        <w:ind w:left="567" w:hanging="567"/>
        <w:jc w:val="both"/>
        <w:rPr>
          <w:rFonts w:hint="default" w:ascii="Calibri" w:hAnsi="Calibri" w:cs="Calibri"/>
          <w:sz w:val="21"/>
          <w:szCs w:val="21"/>
          <w:lang w:val="pt-BR"/>
        </w:rPr>
      </w:pPr>
      <w:r>
        <w:rPr>
          <w:rFonts w:hint="default" w:ascii="Calibri" w:hAnsi="Calibri" w:cs="Calibri"/>
          <w:sz w:val="21"/>
          <w:szCs w:val="21"/>
          <w:lang w:val="pt-BR"/>
        </w:rPr>
        <w:t xml:space="preserve">A Prefeitura de Leme/SP </w:t>
      </w:r>
    </w:p>
    <w:p w14:paraId="2D096B0A">
      <w:pPr>
        <w:pStyle w:val="131"/>
        <w:widowControl/>
        <w:tabs>
          <w:tab w:val="left" w:pos="709"/>
        </w:tabs>
        <w:spacing w:line="300" w:lineRule="atLeast"/>
        <w:ind w:left="709" w:hanging="709"/>
        <w:jc w:val="both"/>
        <w:rPr>
          <w:rFonts w:hint="default" w:ascii="Calibri" w:hAnsi="Calibri" w:cs="Calibri"/>
          <w:sz w:val="21"/>
          <w:szCs w:val="21"/>
          <w:lang w:val="pt-BR"/>
        </w:rPr>
      </w:pPr>
      <w:r>
        <w:rPr>
          <w:rFonts w:hint="default" w:ascii="Calibri" w:hAnsi="Calibri" w:cs="Calibri"/>
          <w:sz w:val="21"/>
          <w:szCs w:val="21"/>
          <w:lang w:val="pt-BR"/>
        </w:rPr>
        <w:t xml:space="preserve">Prezados Senhores, </w:t>
      </w:r>
    </w:p>
    <w:p w14:paraId="30FD178A">
      <w:pPr>
        <w:pStyle w:val="131"/>
        <w:widowControl/>
        <w:tabs>
          <w:tab w:val="left" w:pos="709"/>
        </w:tabs>
        <w:spacing w:line="300" w:lineRule="atLeast"/>
        <w:ind w:left="709" w:hanging="709"/>
        <w:jc w:val="both"/>
        <w:rPr>
          <w:rFonts w:hint="default" w:ascii="Calibri" w:hAnsi="Calibri" w:cs="Calibri"/>
          <w:sz w:val="21"/>
          <w:szCs w:val="21"/>
          <w:lang w:val="pt-BR"/>
        </w:rPr>
      </w:pPr>
    </w:p>
    <w:p w14:paraId="01EA2C97">
      <w:pPr>
        <w:pStyle w:val="131"/>
        <w:widowControl/>
        <w:tabs>
          <w:tab w:val="left" w:pos="709"/>
        </w:tabs>
        <w:spacing w:line="300" w:lineRule="atLeast"/>
        <w:ind w:left="709" w:hanging="709"/>
        <w:jc w:val="both"/>
        <w:rPr>
          <w:rFonts w:hint="default" w:ascii="Calibri" w:hAnsi="Calibri" w:cs="Calibri"/>
          <w:sz w:val="21"/>
          <w:szCs w:val="21"/>
          <w:lang w:val="pt-BR"/>
        </w:rPr>
      </w:pPr>
      <w:r>
        <w:rPr>
          <w:rFonts w:hint="default" w:ascii="Calibri" w:hAnsi="Calibri" w:cs="Calibri"/>
          <w:b/>
          <w:bCs/>
          <w:sz w:val="21"/>
          <w:szCs w:val="21"/>
        </w:rPr>
        <w:t xml:space="preserve">PREGÃO </w:t>
      </w:r>
      <w:r>
        <w:rPr>
          <w:rFonts w:hint="default" w:ascii="Calibri" w:hAnsi="Calibri" w:cs="Calibri"/>
          <w:b/>
          <w:bCs/>
          <w:sz w:val="21"/>
          <w:szCs w:val="21"/>
          <w:lang w:val="pt-BR"/>
        </w:rPr>
        <w:t>ELETRÔNICO</w:t>
      </w:r>
      <w:r>
        <w:rPr>
          <w:rFonts w:hint="default" w:ascii="Calibri" w:hAnsi="Calibri" w:cs="Calibri"/>
          <w:b/>
          <w:bCs/>
          <w:sz w:val="21"/>
          <w:szCs w:val="21"/>
        </w:rPr>
        <w:t xml:space="preserve"> Nº</w:t>
      </w:r>
      <w:r>
        <w:rPr>
          <w:rFonts w:hint="default" w:ascii="Calibri" w:hAnsi="Calibri" w:cs="Calibri"/>
          <w:b/>
          <w:bCs/>
          <w:sz w:val="21"/>
          <w:szCs w:val="21"/>
          <w:lang w:val="pt-BR"/>
        </w:rPr>
        <w:t xml:space="preserve"> 005/</w:t>
      </w:r>
      <w:r>
        <w:rPr>
          <w:rFonts w:hint="default" w:ascii="Calibri" w:hAnsi="Calibri" w:cs="Calibri"/>
          <w:b/>
          <w:bCs/>
          <w:sz w:val="21"/>
          <w:szCs w:val="21"/>
        </w:rPr>
        <w:t>20</w:t>
      </w:r>
      <w:r>
        <w:rPr>
          <w:rFonts w:hint="default" w:ascii="Calibri" w:hAnsi="Calibri" w:cs="Calibri"/>
          <w:b/>
          <w:bCs/>
          <w:sz w:val="21"/>
          <w:szCs w:val="21"/>
          <w:lang w:val="pt-BR"/>
        </w:rPr>
        <w:t>25  ,</w:t>
      </w:r>
      <w:r>
        <w:rPr>
          <w:rFonts w:hint="default" w:ascii="Calibri" w:hAnsi="Calibri" w:cs="Calibri"/>
          <w:sz w:val="21"/>
          <w:szCs w:val="21"/>
          <w:lang w:val="pt-BR"/>
        </w:rPr>
        <w:t xml:space="preserve"> </w:t>
      </w:r>
      <w:r>
        <w:rPr>
          <w:rFonts w:hint="default" w:ascii="Calibri" w:hAnsi="Calibri" w:cs="Calibri"/>
          <w:b/>
          <w:sz w:val="21"/>
          <w:szCs w:val="21"/>
          <w:lang w:val="pt-BR"/>
        </w:rPr>
        <w:t xml:space="preserve"> Proposta de Fornecimento</w:t>
      </w:r>
      <w:r>
        <w:rPr>
          <w:rFonts w:hint="default" w:ascii="Calibri" w:hAnsi="Calibri" w:cs="Calibri"/>
          <w:sz w:val="21"/>
          <w:szCs w:val="21"/>
          <w:lang w:val="pt-BR"/>
        </w:rPr>
        <w:t>.</w:t>
      </w:r>
    </w:p>
    <w:p w14:paraId="3BAE9490">
      <w:pPr>
        <w:pStyle w:val="131"/>
        <w:widowControl/>
        <w:tabs>
          <w:tab w:val="left" w:pos="709"/>
        </w:tabs>
        <w:spacing w:line="300" w:lineRule="atLeast"/>
        <w:ind w:left="709" w:hanging="709"/>
        <w:jc w:val="both"/>
        <w:rPr>
          <w:rFonts w:hint="default" w:ascii="Calibri" w:hAnsi="Calibri" w:cs="Calibri"/>
          <w:sz w:val="21"/>
          <w:szCs w:val="21"/>
          <w:lang w:val="pt-BR"/>
        </w:rPr>
      </w:pPr>
    </w:p>
    <w:tbl>
      <w:tblPr>
        <w:tblStyle w:val="8"/>
        <w:tblW w:w="15139" w:type="dxa"/>
        <w:tblInd w:w="93" w:type="dxa"/>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Layout w:type="fixed"/>
        <w:tblCellMar>
          <w:top w:w="0" w:type="dxa"/>
          <w:left w:w="108" w:type="dxa"/>
          <w:bottom w:w="0" w:type="dxa"/>
          <w:right w:w="108" w:type="dxa"/>
        </w:tblCellMar>
      </w:tblPr>
      <w:tblGrid>
        <w:gridCol w:w="480"/>
        <w:gridCol w:w="448"/>
        <w:gridCol w:w="792"/>
        <w:gridCol w:w="6839"/>
        <w:gridCol w:w="1254"/>
        <w:gridCol w:w="1254"/>
        <w:gridCol w:w="744"/>
        <w:gridCol w:w="1074"/>
        <w:gridCol w:w="1019"/>
        <w:gridCol w:w="1235"/>
      </w:tblGrid>
      <w:tr w14:paraId="2A3A204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1134" w:hRule="atLeast"/>
        </w:trPr>
        <w:tc>
          <w:tcPr>
            <w:tcW w:w="480" w:type="dxa"/>
            <w:tcBorders>
              <w:top w:val="nil"/>
              <w:left w:val="nil"/>
              <w:bottom w:val="nil"/>
              <w:right w:val="nil"/>
            </w:tcBorders>
            <w:shd w:val="clear" w:color="auto" w:fill="911527"/>
            <w:textDirection w:val="btLr"/>
            <w:vAlign w:val="center"/>
          </w:tcPr>
          <w:p w14:paraId="771483C2">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themeColor="background1"/>
                <w:sz w:val="18"/>
                <w:szCs w:val="18"/>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8"/>
                <w:szCs w:val="18"/>
                <w:u w:val="none"/>
                <w:lang w:val="en-US" w:eastAsia="zh-CN" w:bidi="ar"/>
                <w14:textFill>
                  <w14:solidFill>
                    <w14:schemeClr w14:val="bg1"/>
                  </w14:solidFill>
                </w14:textFill>
              </w:rPr>
              <w:t>LOTE</w:t>
            </w:r>
          </w:p>
        </w:tc>
        <w:tc>
          <w:tcPr>
            <w:tcW w:w="448" w:type="dxa"/>
            <w:tcBorders>
              <w:top w:val="nil"/>
              <w:left w:val="nil"/>
              <w:bottom w:val="nil"/>
              <w:right w:val="nil"/>
            </w:tcBorders>
            <w:shd w:val="clear" w:color="auto" w:fill="911527"/>
            <w:textDirection w:val="btLr"/>
            <w:vAlign w:val="center"/>
          </w:tcPr>
          <w:p w14:paraId="4C4F4983">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ITEM</w:t>
            </w:r>
          </w:p>
        </w:tc>
        <w:tc>
          <w:tcPr>
            <w:tcW w:w="792" w:type="dxa"/>
            <w:tcBorders>
              <w:top w:val="nil"/>
              <w:left w:val="nil"/>
              <w:bottom w:val="nil"/>
              <w:right w:val="nil"/>
            </w:tcBorders>
            <w:shd w:val="clear" w:color="auto" w:fill="911527"/>
            <w:vAlign w:val="center"/>
          </w:tcPr>
          <w:p w14:paraId="690E71CF">
            <w:pPr>
              <w:keepNext w:val="0"/>
              <w:keepLines w:val="0"/>
              <w:widowControl/>
              <w:suppressLineNumbers w:val="0"/>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COD LC</w:t>
            </w:r>
          </w:p>
        </w:tc>
        <w:tc>
          <w:tcPr>
            <w:tcW w:w="6839" w:type="dxa"/>
            <w:tcBorders>
              <w:top w:val="nil"/>
              <w:left w:val="nil"/>
              <w:bottom w:val="nil"/>
              <w:right w:val="nil"/>
            </w:tcBorders>
            <w:shd w:val="clear" w:color="auto" w:fill="911527"/>
            <w:vAlign w:val="center"/>
          </w:tcPr>
          <w:p w14:paraId="6A8B4C2F">
            <w:pPr>
              <w:keepNext w:val="0"/>
              <w:keepLines w:val="0"/>
              <w:widowControl/>
              <w:suppressLineNumbers w:val="0"/>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DESCRIÇÃO</w:t>
            </w:r>
          </w:p>
        </w:tc>
        <w:tc>
          <w:tcPr>
            <w:tcW w:w="1254" w:type="dxa"/>
            <w:tcBorders>
              <w:top w:val="nil"/>
              <w:left w:val="nil"/>
              <w:bottom w:val="nil"/>
              <w:right w:val="nil"/>
            </w:tcBorders>
            <w:shd w:val="clear" w:color="auto" w:fill="911527"/>
            <w:vAlign w:val="center"/>
          </w:tcPr>
          <w:p w14:paraId="2AAA1889">
            <w:pPr>
              <w:keepNext w:val="0"/>
              <w:keepLines w:val="0"/>
              <w:widowControl/>
              <w:suppressLineNumbers w:val="0"/>
              <w:jc w:val="center"/>
              <w:textAlignment w:val="center"/>
              <w:rPr>
                <w:rFonts w:hint="default" w:ascii="Arial Nova Cond" w:hAnsi="Arial Nova Cond" w:eastAsia="Aptos Narrow" w:cs="Arial Nova Cond"/>
                <w:b/>
                <w:bCs/>
                <w:i w:val="0"/>
                <w:iCs w:val="0"/>
                <w:color w:val="FFFFFF"/>
                <w:kern w:val="0"/>
                <w:sz w:val="18"/>
                <w:szCs w:val="18"/>
                <w:u w:val="none"/>
                <w:lang w:val="pt-BR" w:eastAsia="zh-CN" w:bidi="ar"/>
              </w:rPr>
            </w:pPr>
            <w:r>
              <w:rPr>
                <w:rFonts w:hint="default" w:ascii="Arial Nova Cond" w:hAnsi="Arial Nova Cond" w:eastAsia="Aptos Narrow" w:cs="Arial Nova Cond"/>
                <w:b/>
                <w:bCs/>
                <w:i w:val="0"/>
                <w:iCs w:val="0"/>
                <w:color w:val="FFFFFF"/>
                <w:kern w:val="0"/>
                <w:sz w:val="18"/>
                <w:szCs w:val="18"/>
                <w:u w:val="none"/>
                <w:lang w:val="pt-BR" w:eastAsia="zh-CN" w:bidi="ar"/>
              </w:rPr>
              <w:t>MARCA</w:t>
            </w:r>
          </w:p>
        </w:tc>
        <w:tc>
          <w:tcPr>
            <w:tcW w:w="1254" w:type="dxa"/>
            <w:tcBorders>
              <w:top w:val="nil"/>
              <w:left w:val="nil"/>
              <w:bottom w:val="nil"/>
              <w:right w:val="nil"/>
            </w:tcBorders>
            <w:shd w:val="clear" w:color="auto" w:fill="911527"/>
            <w:textDirection w:val="btLr"/>
            <w:vAlign w:val="center"/>
          </w:tcPr>
          <w:p w14:paraId="25CF0375">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EMBALAGEM MÍNIMA</w:t>
            </w:r>
          </w:p>
        </w:tc>
        <w:tc>
          <w:tcPr>
            <w:tcW w:w="744" w:type="dxa"/>
            <w:tcBorders>
              <w:top w:val="nil"/>
              <w:left w:val="nil"/>
              <w:bottom w:val="nil"/>
              <w:right w:val="nil"/>
            </w:tcBorders>
            <w:shd w:val="clear" w:color="auto" w:fill="911527"/>
            <w:textDirection w:val="btLr"/>
            <w:vAlign w:val="center"/>
          </w:tcPr>
          <w:p w14:paraId="567D745D">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QTD TOTAL</w:t>
            </w:r>
          </w:p>
        </w:tc>
        <w:tc>
          <w:tcPr>
            <w:tcW w:w="1074" w:type="dxa"/>
            <w:tcBorders>
              <w:top w:val="nil"/>
              <w:left w:val="nil"/>
              <w:bottom w:val="nil"/>
              <w:right w:val="nil"/>
            </w:tcBorders>
            <w:shd w:val="clear" w:color="auto" w:fill="911527"/>
            <w:textDirection w:val="btLr"/>
            <w:vAlign w:val="center"/>
          </w:tcPr>
          <w:p w14:paraId="07E99C49">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 xml:space="preserve"> VALOR UNITÁRIO </w:t>
            </w:r>
          </w:p>
        </w:tc>
        <w:tc>
          <w:tcPr>
            <w:tcW w:w="1019" w:type="dxa"/>
            <w:tcBorders>
              <w:top w:val="nil"/>
              <w:left w:val="nil"/>
              <w:bottom w:val="nil"/>
              <w:right w:val="nil"/>
            </w:tcBorders>
            <w:shd w:val="clear" w:color="auto" w:fill="911527"/>
            <w:textDirection w:val="btLr"/>
            <w:vAlign w:val="center"/>
          </w:tcPr>
          <w:p w14:paraId="397AC2F5">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VALOR TOTAL</w:t>
            </w:r>
          </w:p>
        </w:tc>
        <w:tc>
          <w:tcPr>
            <w:tcW w:w="1235" w:type="dxa"/>
            <w:tcBorders>
              <w:top w:val="nil"/>
              <w:left w:val="nil"/>
              <w:bottom w:val="nil"/>
              <w:right w:val="nil"/>
            </w:tcBorders>
            <w:shd w:val="clear" w:color="auto" w:fill="911527"/>
            <w:vAlign w:val="center"/>
          </w:tcPr>
          <w:p w14:paraId="4BF91067">
            <w:pPr>
              <w:keepNext w:val="0"/>
              <w:keepLines w:val="0"/>
              <w:widowControl/>
              <w:suppressLineNumbers w:val="0"/>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TOTAL DO LOTE</w:t>
            </w:r>
          </w:p>
        </w:tc>
      </w:tr>
      <w:tr w14:paraId="1564739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31" w:hRule="atLeast"/>
        </w:trPr>
        <w:tc>
          <w:tcPr>
            <w:tcW w:w="480" w:type="dxa"/>
            <w:tcBorders>
              <w:top w:val="nil"/>
            </w:tcBorders>
            <w:shd w:val="clear" w:color="auto" w:fill="FBE4E8"/>
            <w:vAlign w:val="center"/>
          </w:tcPr>
          <w:p w14:paraId="60DDC0B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01</w:t>
            </w:r>
          </w:p>
        </w:tc>
        <w:tc>
          <w:tcPr>
            <w:tcW w:w="448" w:type="dxa"/>
            <w:tcBorders>
              <w:top w:val="nil"/>
            </w:tcBorders>
            <w:shd w:val="clear" w:color="auto" w:fill="FBE4E8"/>
            <w:vAlign w:val="center"/>
          </w:tcPr>
          <w:p w14:paraId="3D578CB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tcBorders>
              <w:top w:val="nil"/>
            </w:tcBorders>
            <w:shd w:val="clear" w:color="auto" w:fill="FBE4E8"/>
            <w:vAlign w:val="center"/>
          </w:tcPr>
          <w:p w14:paraId="6D78AA1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87852</w:t>
            </w:r>
          </w:p>
        </w:tc>
        <w:tc>
          <w:tcPr>
            <w:tcW w:w="6839" w:type="dxa"/>
            <w:tcBorders>
              <w:top w:val="nil"/>
            </w:tcBorders>
            <w:shd w:val="clear" w:color="auto" w:fill="FBE4E8"/>
            <w:vAlign w:val="center"/>
          </w:tcPr>
          <w:p w14:paraId="34C6525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Café:</w:t>
            </w:r>
            <w:r>
              <w:rPr>
                <w:rFonts w:hint="default" w:ascii="Arial Nova Cond" w:hAnsi="Arial Nova Cond" w:eastAsia="Aptos Narrow" w:cs="Arial Nova Cond"/>
                <w:i w:val="0"/>
                <w:iCs w:val="0"/>
                <w:color w:val="000000"/>
                <w:kern w:val="0"/>
                <w:sz w:val="18"/>
                <w:szCs w:val="18"/>
                <w:u w:val="none"/>
                <w:lang w:val="en-US" w:eastAsia="zh-CN" w:bidi="ar"/>
              </w:rPr>
              <w:t xml:space="preserve"> aspecto em pó; homogêneo; bebida do tipo "dura" ou de melhor qualidade; deve possuir certificação "Tradicional" ou de melhor qualidade, em plena validade, emitida pela ABIC (ou laudo de avaliação emitido por laboratório especializado, com nota de qualidade global mínima de 5,0 pontos na Escala Sensorial do Café).</w:t>
            </w:r>
          </w:p>
        </w:tc>
        <w:tc>
          <w:tcPr>
            <w:tcW w:w="1254" w:type="dxa"/>
            <w:tcBorders>
              <w:top w:val="nil"/>
            </w:tcBorders>
            <w:shd w:val="clear" w:color="auto" w:fill="FBE4E8"/>
            <w:vAlign w:val="center"/>
          </w:tcPr>
          <w:p w14:paraId="7FD7730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tcBorders>
              <w:top w:val="nil"/>
            </w:tcBorders>
            <w:shd w:val="clear" w:color="auto" w:fill="FBE4E8"/>
            <w:vAlign w:val="center"/>
          </w:tcPr>
          <w:p w14:paraId="6473A28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tcBorders>
              <w:top w:val="nil"/>
            </w:tcBorders>
            <w:shd w:val="clear" w:color="auto" w:fill="FBE4E8"/>
            <w:vAlign w:val="center"/>
          </w:tcPr>
          <w:p w14:paraId="3B229AC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5998</w:t>
            </w:r>
          </w:p>
        </w:tc>
        <w:tc>
          <w:tcPr>
            <w:tcW w:w="1074" w:type="dxa"/>
            <w:tcBorders>
              <w:top w:val="nil"/>
            </w:tcBorders>
            <w:shd w:val="clear" w:color="auto" w:fill="FBE4E8"/>
            <w:vAlign w:val="center"/>
          </w:tcPr>
          <w:p w14:paraId="69BC5B9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tcBorders>
              <w:top w:val="nil"/>
            </w:tcBorders>
            <w:shd w:val="clear" w:color="auto" w:fill="FBE4E8"/>
            <w:vAlign w:val="center"/>
          </w:tcPr>
          <w:p w14:paraId="1C09910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tcBorders>
              <w:top w:val="nil"/>
            </w:tcBorders>
            <w:shd w:val="clear" w:color="auto" w:fill="FBE4E8"/>
            <w:vAlign w:val="center"/>
          </w:tcPr>
          <w:p w14:paraId="28E66C9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CA4C0C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554" w:hRule="atLeast"/>
        </w:trPr>
        <w:tc>
          <w:tcPr>
            <w:tcW w:w="480" w:type="dxa"/>
            <w:shd w:val="clear" w:color="auto" w:fill="FFFFFF"/>
            <w:vAlign w:val="center"/>
          </w:tcPr>
          <w:p w14:paraId="546429D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02</w:t>
            </w:r>
          </w:p>
        </w:tc>
        <w:tc>
          <w:tcPr>
            <w:tcW w:w="448" w:type="dxa"/>
            <w:shd w:val="clear" w:color="auto" w:fill="FFFFFF"/>
            <w:vAlign w:val="center"/>
          </w:tcPr>
          <w:p w14:paraId="2C03C6B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4B3DD94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87853</w:t>
            </w:r>
          </w:p>
        </w:tc>
        <w:tc>
          <w:tcPr>
            <w:tcW w:w="6839" w:type="dxa"/>
            <w:shd w:val="clear" w:color="auto" w:fill="FFFFFF"/>
            <w:vAlign w:val="center"/>
          </w:tcPr>
          <w:p w14:paraId="1F9191C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Chá Mate:</w:t>
            </w:r>
            <w:r>
              <w:rPr>
                <w:rFonts w:hint="default" w:ascii="Arial Nova Cond" w:hAnsi="Arial Nova Cond" w:eastAsia="Aptos Narrow" w:cs="Arial Nova Cond"/>
                <w:i w:val="0"/>
                <w:iCs w:val="0"/>
                <w:color w:val="000000"/>
                <w:kern w:val="0"/>
                <w:sz w:val="18"/>
                <w:szCs w:val="18"/>
                <w:u w:val="none"/>
                <w:lang w:val="en-US" w:eastAsia="zh-CN" w:bidi="ar"/>
              </w:rPr>
              <w:t xml:space="preserve"> constituído por folhas, hastes, pecíolos e pedúnculos de erva mate, queimado de forma tradicional,sem coloração artificial e sem mistura com outras ervas.</w:t>
            </w:r>
          </w:p>
        </w:tc>
        <w:tc>
          <w:tcPr>
            <w:tcW w:w="1254" w:type="dxa"/>
            <w:shd w:val="clear" w:color="auto" w:fill="FFFFFF"/>
            <w:vAlign w:val="center"/>
          </w:tcPr>
          <w:p w14:paraId="2E469CD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4057F57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250 g</w:t>
            </w:r>
          </w:p>
        </w:tc>
        <w:tc>
          <w:tcPr>
            <w:tcW w:w="744" w:type="dxa"/>
            <w:shd w:val="clear" w:color="auto" w:fill="FFFFFF"/>
            <w:vAlign w:val="center"/>
          </w:tcPr>
          <w:p w14:paraId="0340561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2781</w:t>
            </w:r>
          </w:p>
        </w:tc>
        <w:tc>
          <w:tcPr>
            <w:tcW w:w="1074" w:type="dxa"/>
            <w:shd w:val="clear" w:color="auto" w:fill="FFFFFF"/>
            <w:vAlign w:val="center"/>
          </w:tcPr>
          <w:p w14:paraId="32CF69F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13675F8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77C6762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6108CF6">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90" w:hRule="atLeast"/>
        </w:trPr>
        <w:tc>
          <w:tcPr>
            <w:tcW w:w="480" w:type="dxa"/>
            <w:shd w:val="clear" w:color="auto" w:fill="FBE4E8"/>
            <w:vAlign w:val="center"/>
          </w:tcPr>
          <w:p w14:paraId="2968611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03</w:t>
            </w:r>
          </w:p>
        </w:tc>
        <w:tc>
          <w:tcPr>
            <w:tcW w:w="448" w:type="dxa"/>
            <w:shd w:val="clear" w:color="auto" w:fill="FBE4E8"/>
            <w:vAlign w:val="center"/>
          </w:tcPr>
          <w:p w14:paraId="63DF5A2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49F5F9E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87854</w:t>
            </w:r>
          </w:p>
        </w:tc>
        <w:tc>
          <w:tcPr>
            <w:tcW w:w="6839" w:type="dxa"/>
            <w:shd w:val="clear" w:color="auto" w:fill="FBE4E8"/>
            <w:vAlign w:val="center"/>
          </w:tcPr>
          <w:p w14:paraId="032D731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Farinha Láctea: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enriquecida com vitaminas e minerais; validade mínima de 80% do prazo inicial ainda válido, contado a partir da data de entrega; produto deve atender às normas da ANVISA e legislações vigentes.</w:t>
            </w:r>
          </w:p>
        </w:tc>
        <w:tc>
          <w:tcPr>
            <w:tcW w:w="1254" w:type="dxa"/>
            <w:shd w:val="clear" w:color="auto" w:fill="FBE4E8"/>
            <w:vAlign w:val="center"/>
          </w:tcPr>
          <w:p w14:paraId="16700EA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7BEFCCA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350 g</w:t>
            </w:r>
          </w:p>
        </w:tc>
        <w:tc>
          <w:tcPr>
            <w:tcW w:w="744" w:type="dxa"/>
            <w:shd w:val="clear" w:color="auto" w:fill="FBE4E8"/>
            <w:vAlign w:val="center"/>
          </w:tcPr>
          <w:p w14:paraId="774C4F3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12E9B34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63CA3B2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166467B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54120BD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57" w:hRule="atLeast"/>
        </w:trPr>
        <w:tc>
          <w:tcPr>
            <w:tcW w:w="480" w:type="dxa"/>
            <w:shd w:val="clear" w:color="auto" w:fill="FFFFFF"/>
            <w:vAlign w:val="center"/>
          </w:tcPr>
          <w:p w14:paraId="59F5797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04</w:t>
            </w:r>
          </w:p>
        </w:tc>
        <w:tc>
          <w:tcPr>
            <w:tcW w:w="448" w:type="dxa"/>
            <w:shd w:val="clear" w:color="auto" w:fill="FFFFFF"/>
            <w:vAlign w:val="center"/>
          </w:tcPr>
          <w:p w14:paraId="6F769F7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3227D52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87855</w:t>
            </w:r>
          </w:p>
        </w:tc>
        <w:tc>
          <w:tcPr>
            <w:tcW w:w="6839" w:type="dxa"/>
            <w:shd w:val="clear" w:color="auto" w:fill="FFFFFF"/>
            <w:vAlign w:val="center"/>
          </w:tcPr>
          <w:p w14:paraId="4882D91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Aveia em Flocos:</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validade mínima de 80% do prazo inicial ainda válido, contado a partir da data de entrega; produto deve atender às normas da ANVISA e legislações vigentes.</w:t>
            </w:r>
          </w:p>
        </w:tc>
        <w:tc>
          <w:tcPr>
            <w:tcW w:w="1254" w:type="dxa"/>
            <w:shd w:val="clear" w:color="auto" w:fill="FFFFFF"/>
            <w:vAlign w:val="center"/>
          </w:tcPr>
          <w:p w14:paraId="303B75E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67F318F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150 g</w:t>
            </w:r>
          </w:p>
        </w:tc>
        <w:tc>
          <w:tcPr>
            <w:tcW w:w="744" w:type="dxa"/>
            <w:shd w:val="clear" w:color="auto" w:fill="FFFFFF"/>
            <w:vAlign w:val="center"/>
          </w:tcPr>
          <w:p w14:paraId="73C9CCF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200</w:t>
            </w:r>
          </w:p>
        </w:tc>
        <w:tc>
          <w:tcPr>
            <w:tcW w:w="1074" w:type="dxa"/>
            <w:shd w:val="clear" w:color="auto" w:fill="FFFFFF"/>
            <w:vAlign w:val="center"/>
          </w:tcPr>
          <w:p w14:paraId="163EFF7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78913A6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376873D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D4C944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66" w:hRule="atLeast"/>
        </w:trPr>
        <w:tc>
          <w:tcPr>
            <w:tcW w:w="480" w:type="dxa"/>
            <w:vMerge w:val="restart"/>
            <w:shd w:val="clear" w:color="auto" w:fill="FBE4E8"/>
            <w:vAlign w:val="center"/>
          </w:tcPr>
          <w:p w14:paraId="448D443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05</w:t>
            </w:r>
          </w:p>
        </w:tc>
        <w:tc>
          <w:tcPr>
            <w:tcW w:w="448" w:type="dxa"/>
            <w:shd w:val="clear" w:color="auto" w:fill="FBE4E8"/>
            <w:vAlign w:val="center"/>
          </w:tcPr>
          <w:p w14:paraId="5B94136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2F211CB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87856</w:t>
            </w:r>
          </w:p>
        </w:tc>
        <w:tc>
          <w:tcPr>
            <w:tcW w:w="6839" w:type="dxa"/>
            <w:shd w:val="clear" w:color="auto" w:fill="FBE4E8"/>
            <w:vAlign w:val="center"/>
          </w:tcPr>
          <w:p w14:paraId="5D4415C5">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Farinha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granulometria do tipo flocada; adequada para uso em preparações culinárias como farofas, mingaus e panificação; validade mínima de 80% do prazo inicial ainda válido, contado a partir da data de entrega; produto deve atender às normas da ANVISA e legislações vigentes.</w:t>
            </w:r>
          </w:p>
        </w:tc>
        <w:tc>
          <w:tcPr>
            <w:tcW w:w="1254" w:type="dxa"/>
            <w:shd w:val="clear" w:color="auto" w:fill="FBE4E8"/>
            <w:vAlign w:val="center"/>
          </w:tcPr>
          <w:p w14:paraId="31D2A71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0906D43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2F147F6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540</w:t>
            </w:r>
          </w:p>
        </w:tc>
        <w:tc>
          <w:tcPr>
            <w:tcW w:w="1074" w:type="dxa"/>
            <w:shd w:val="clear" w:color="auto" w:fill="FBE4E8"/>
            <w:vAlign w:val="center"/>
          </w:tcPr>
          <w:p w14:paraId="400ADD7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4747B27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BE4E8"/>
            <w:vAlign w:val="center"/>
          </w:tcPr>
          <w:p w14:paraId="67E143F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13BCE48C">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90" w:hRule="atLeast"/>
        </w:trPr>
        <w:tc>
          <w:tcPr>
            <w:tcW w:w="480" w:type="dxa"/>
            <w:vMerge w:val="continue"/>
            <w:shd w:val="clear" w:color="auto" w:fill="FBE4E8"/>
            <w:vAlign w:val="center"/>
          </w:tcPr>
          <w:p w14:paraId="0AAD66D5">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6BC5E54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6B39894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87857</w:t>
            </w:r>
          </w:p>
        </w:tc>
        <w:tc>
          <w:tcPr>
            <w:tcW w:w="6839" w:type="dxa"/>
            <w:shd w:val="clear" w:color="auto" w:fill="FBE4E8"/>
            <w:vAlign w:val="center"/>
          </w:tcPr>
          <w:p w14:paraId="130764D3">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Farinha de Trigo: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granulometria fina; adequada para uso em panificação, confeitaria e outras preparações alimentícias; validade mínima de 80% do prazo inicial ainda válido, contado a partir da data de entrega; produto deve atender às normas da ANVISA e legislações vigentes.</w:t>
            </w:r>
          </w:p>
        </w:tc>
        <w:tc>
          <w:tcPr>
            <w:tcW w:w="1254" w:type="dxa"/>
            <w:shd w:val="clear" w:color="auto" w:fill="FBE4E8"/>
            <w:vAlign w:val="center"/>
          </w:tcPr>
          <w:p w14:paraId="35B699E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A42DB2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kg</w:t>
            </w:r>
          </w:p>
        </w:tc>
        <w:tc>
          <w:tcPr>
            <w:tcW w:w="744" w:type="dxa"/>
            <w:shd w:val="clear" w:color="auto" w:fill="FBE4E8"/>
            <w:vAlign w:val="center"/>
          </w:tcPr>
          <w:p w14:paraId="7ED8135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1040</w:t>
            </w:r>
          </w:p>
        </w:tc>
        <w:tc>
          <w:tcPr>
            <w:tcW w:w="1074" w:type="dxa"/>
            <w:shd w:val="clear" w:color="auto" w:fill="FBE4E8"/>
            <w:vAlign w:val="center"/>
          </w:tcPr>
          <w:p w14:paraId="61EE8CB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400C7C7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46DF92C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CF4C280">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1032" w:hRule="atLeast"/>
        </w:trPr>
        <w:tc>
          <w:tcPr>
            <w:tcW w:w="480" w:type="dxa"/>
            <w:vMerge w:val="continue"/>
            <w:shd w:val="clear" w:color="auto" w:fill="FBE4E8"/>
            <w:vAlign w:val="center"/>
          </w:tcPr>
          <w:p w14:paraId="485CD275">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3929369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131C680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87858</w:t>
            </w:r>
          </w:p>
        </w:tc>
        <w:tc>
          <w:tcPr>
            <w:tcW w:w="6839" w:type="dxa"/>
            <w:shd w:val="clear" w:color="auto" w:fill="FBE4E8"/>
            <w:vAlign w:val="center"/>
          </w:tcPr>
          <w:p w14:paraId="2BC18582">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Farinha de Rosca: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granulometria fina; adequada para empanar alimentos e outras preparações culinárias; validade mínima de 80% do prazo inicial ainda válido, contado a partir da data de entrega; produto deve atender às normas da ANVISA e legislações vigentes.</w:t>
            </w:r>
          </w:p>
        </w:tc>
        <w:tc>
          <w:tcPr>
            <w:tcW w:w="1254" w:type="dxa"/>
            <w:shd w:val="clear" w:color="auto" w:fill="FBE4E8"/>
            <w:vAlign w:val="center"/>
          </w:tcPr>
          <w:p w14:paraId="42A7A5E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082F520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65D2773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240</w:t>
            </w:r>
          </w:p>
        </w:tc>
        <w:tc>
          <w:tcPr>
            <w:tcW w:w="1074" w:type="dxa"/>
            <w:shd w:val="clear" w:color="auto" w:fill="FBE4E8"/>
            <w:vAlign w:val="center"/>
          </w:tcPr>
          <w:p w14:paraId="71FBF49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1D71866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5721D24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54525F98">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78" w:hRule="atLeast"/>
        </w:trPr>
        <w:tc>
          <w:tcPr>
            <w:tcW w:w="480" w:type="dxa"/>
            <w:vMerge w:val="continue"/>
            <w:shd w:val="clear" w:color="auto" w:fill="FFFFFF"/>
            <w:vAlign w:val="center"/>
          </w:tcPr>
          <w:p w14:paraId="4C2019AA">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49975EE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pt-BR" w:eastAsia="zh-CN" w:bidi="ar"/>
              </w:rPr>
              <w:t>4</w:t>
            </w:r>
          </w:p>
        </w:tc>
        <w:tc>
          <w:tcPr>
            <w:tcW w:w="792" w:type="dxa"/>
            <w:shd w:val="clear" w:color="auto" w:fill="FBE4E8"/>
            <w:vAlign w:val="center"/>
          </w:tcPr>
          <w:p w14:paraId="1A75D72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87859</w:t>
            </w:r>
          </w:p>
        </w:tc>
        <w:tc>
          <w:tcPr>
            <w:tcW w:w="6839" w:type="dxa"/>
            <w:shd w:val="clear" w:color="auto" w:fill="FBE4E8"/>
            <w:vAlign w:val="center"/>
          </w:tcPr>
          <w:p w14:paraId="35F53B20">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Fubá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granulometria fina ou média; adequado para uso em preparações culinárias como polenta, mingau e bolos; validade mínima de 80% do prazo inicial ainda válido, contado a partir da data de entrega; produto deve atender às normas da ANVISA e legislações vigentes.</w:t>
            </w:r>
          </w:p>
        </w:tc>
        <w:tc>
          <w:tcPr>
            <w:tcW w:w="1254" w:type="dxa"/>
            <w:shd w:val="clear" w:color="auto" w:fill="FBE4E8"/>
            <w:vAlign w:val="center"/>
          </w:tcPr>
          <w:p w14:paraId="6200622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0696700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1D7998B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1040</w:t>
            </w:r>
          </w:p>
        </w:tc>
        <w:tc>
          <w:tcPr>
            <w:tcW w:w="1074" w:type="dxa"/>
            <w:shd w:val="clear" w:color="auto" w:fill="FBE4E8"/>
            <w:vAlign w:val="center"/>
          </w:tcPr>
          <w:p w14:paraId="3C1A2A9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06FCCB5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1043188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1866986">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721" w:hRule="atLeast"/>
        </w:trPr>
        <w:tc>
          <w:tcPr>
            <w:tcW w:w="480" w:type="dxa"/>
            <w:shd w:val="clear" w:color="auto" w:fill="FFFFFF"/>
            <w:vAlign w:val="center"/>
          </w:tcPr>
          <w:p w14:paraId="100FBEE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06</w:t>
            </w:r>
          </w:p>
        </w:tc>
        <w:tc>
          <w:tcPr>
            <w:tcW w:w="448" w:type="dxa"/>
            <w:shd w:val="clear" w:color="auto" w:fill="FFFFFF"/>
            <w:vAlign w:val="center"/>
          </w:tcPr>
          <w:p w14:paraId="2796FB0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54CC48D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87860</w:t>
            </w:r>
          </w:p>
        </w:tc>
        <w:tc>
          <w:tcPr>
            <w:tcW w:w="6839" w:type="dxa"/>
            <w:shd w:val="clear" w:color="auto" w:fill="FFFFFF"/>
            <w:vAlign w:val="center"/>
          </w:tcPr>
          <w:p w14:paraId="1644BE26">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Trigo para Quibe: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preparo de quibe e outras receitas típicas; validade mínima de 80% do prazo inicial ainda válido, contado a partir da data de entrega; produto deve atender às normas da ANVISA e legislações vigentes.</w:t>
            </w:r>
          </w:p>
        </w:tc>
        <w:tc>
          <w:tcPr>
            <w:tcW w:w="1254" w:type="dxa"/>
            <w:shd w:val="clear" w:color="auto" w:fill="FFFFFF"/>
            <w:vAlign w:val="center"/>
          </w:tcPr>
          <w:p w14:paraId="0B71BD2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3E9B391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FFFFF"/>
            <w:vAlign w:val="center"/>
          </w:tcPr>
          <w:p w14:paraId="44F241C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140</w:t>
            </w:r>
          </w:p>
        </w:tc>
        <w:tc>
          <w:tcPr>
            <w:tcW w:w="1074" w:type="dxa"/>
            <w:shd w:val="clear" w:color="auto" w:fill="FFFFFF"/>
            <w:vAlign w:val="center"/>
          </w:tcPr>
          <w:p w14:paraId="79C1EC1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79F4B5E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529FA7D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E4F5387">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737" w:hRule="atLeast"/>
        </w:trPr>
        <w:tc>
          <w:tcPr>
            <w:tcW w:w="480" w:type="dxa"/>
            <w:shd w:val="clear" w:color="auto" w:fill="FBE4E8"/>
            <w:vAlign w:val="center"/>
          </w:tcPr>
          <w:p w14:paraId="54B82F8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07</w:t>
            </w:r>
          </w:p>
        </w:tc>
        <w:tc>
          <w:tcPr>
            <w:tcW w:w="448" w:type="dxa"/>
            <w:shd w:val="clear" w:color="auto" w:fill="FBE4E8"/>
            <w:vAlign w:val="center"/>
          </w:tcPr>
          <w:p w14:paraId="3419EE9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2748636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87861</w:t>
            </w:r>
          </w:p>
        </w:tc>
        <w:tc>
          <w:tcPr>
            <w:tcW w:w="6839" w:type="dxa"/>
            <w:shd w:val="clear" w:color="auto" w:fill="FBE4E8"/>
            <w:vAlign w:val="center"/>
          </w:tcPr>
          <w:p w14:paraId="5200B7AC">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Amido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pó branco, fino e solúvel em água; adequado para uso como espessante em preparações culinárias, como cremes, molhos e sobremesas; validade mínima de 80% do prazo inicial ainda válido, contado a partir da data de entrega; produto deve atender às normas da ANVISA e legislações vigentes.</w:t>
            </w:r>
          </w:p>
        </w:tc>
        <w:tc>
          <w:tcPr>
            <w:tcW w:w="1254" w:type="dxa"/>
            <w:shd w:val="clear" w:color="auto" w:fill="FBE4E8"/>
            <w:vAlign w:val="center"/>
          </w:tcPr>
          <w:p w14:paraId="41AFD17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26E491B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1C7E755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440</w:t>
            </w:r>
          </w:p>
        </w:tc>
        <w:tc>
          <w:tcPr>
            <w:tcW w:w="1074" w:type="dxa"/>
            <w:shd w:val="clear" w:color="auto" w:fill="FBE4E8"/>
            <w:vAlign w:val="center"/>
          </w:tcPr>
          <w:p w14:paraId="67E23EC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5E0463A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071CA89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582B39E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24" w:hRule="atLeast"/>
        </w:trPr>
        <w:tc>
          <w:tcPr>
            <w:tcW w:w="480" w:type="dxa"/>
            <w:vMerge w:val="restart"/>
            <w:shd w:val="clear" w:color="auto" w:fill="FFFFFF"/>
            <w:vAlign w:val="center"/>
          </w:tcPr>
          <w:p w14:paraId="3FAB71C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08</w:t>
            </w:r>
          </w:p>
        </w:tc>
        <w:tc>
          <w:tcPr>
            <w:tcW w:w="448" w:type="dxa"/>
            <w:shd w:val="clear" w:color="auto" w:fill="FFFFFF"/>
            <w:vAlign w:val="center"/>
          </w:tcPr>
          <w:p w14:paraId="7E15A60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450401D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87862</w:t>
            </w:r>
          </w:p>
        </w:tc>
        <w:tc>
          <w:tcPr>
            <w:tcW w:w="6839" w:type="dxa"/>
            <w:shd w:val="clear" w:color="auto" w:fill="FFFFFF"/>
            <w:vAlign w:val="center"/>
          </w:tcPr>
          <w:p w14:paraId="45CB4C45">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Leite em Pó Integral:</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alimentícias, como bebidas, sobremesas e receitas culinárias; validade mínima de 80% do prazo inicial ainda válido, contado a partir da data de entrega; produto deve atender às normas da ANVISA e legislações vigentes.</w:t>
            </w:r>
          </w:p>
        </w:tc>
        <w:tc>
          <w:tcPr>
            <w:tcW w:w="1254" w:type="dxa"/>
            <w:shd w:val="clear" w:color="auto" w:fill="FFFFFF"/>
            <w:vAlign w:val="center"/>
          </w:tcPr>
          <w:p w14:paraId="0D4B04B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423D986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400 g</w:t>
            </w:r>
          </w:p>
        </w:tc>
        <w:tc>
          <w:tcPr>
            <w:tcW w:w="744" w:type="dxa"/>
            <w:shd w:val="clear" w:color="auto" w:fill="FFFFFF"/>
            <w:vAlign w:val="center"/>
          </w:tcPr>
          <w:p w14:paraId="6FF78FC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510</w:t>
            </w:r>
          </w:p>
        </w:tc>
        <w:tc>
          <w:tcPr>
            <w:tcW w:w="1074" w:type="dxa"/>
            <w:shd w:val="clear" w:color="auto" w:fill="FFFFFF"/>
            <w:vAlign w:val="center"/>
          </w:tcPr>
          <w:p w14:paraId="4FB9D81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49FEE28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FFFFF"/>
            <w:vAlign w:val="center"/>
          </w:tcPr>
          <w:p w14:paraId="0CE91C7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5C3DB950">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84" w:hRule="atLeast"/>
        </w:trPr>
        <w:tc>
          <w:tcPr>
            <w:tcW w:w="480" w:type="dxa"/>
            <w:vMerge w:val="continue"/>
            <w:shd w:val="clear" w:color="auto" w:fill="FFFFFF"/>
            <w:vAlign w:val="center"/>
          </w:tcPr>
          <w:p w14:paraId="4996619C">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3AB1544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pt-BR" w:eastAsia="zh-CN" w:bidi="ar"/>
              </w:rPr>
              <w:t>2</w:t>
            </w:r>
          </w:p>
        </w:tc>
        <w:tc>
          <w:tcPr>
            <w:tcW w:w="792" w:type="dxa"/>
            <w:shd w:val="clear" w:color="auto" w:fill="FFFFFF"/>
            <w:vAlign w:val="center"/>
          </w:tcPr>
          <w:p w14:paraId="6731C7D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87863</w:t>
            </w:r>
          </w:p>
        </w:tc>
        <w:tc>
          <w:tcPr>
            <w:tcW w:w="6839" w:type="dxa"/>
            <w:shd w:val="clear" w:color="auto" w:fill="FFFFFF"/>
            <w:vAlign w:val="center"/>
          </w:tcPr>
          <w:p w14:paraId="6D9A817B">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Leite em Pó Sem Lactose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sem lactose; adequado para uso em preparações alimentícias, como bebidas, sobremesas e receitas culinárias; validade mínima de 80% do prazo inicial ainda válido, contado a partir da data de entrega; produto deve atender às normas da ANVISA e legislações vigentes.</w:t>
            </w:r>
          </w:p>
        </w:tc>
        <w:tc>
          <w:tcPr>
            <w:tcW w:w="1254" w:type="dxa"/>
            <w:shd w:val="clear" w:color="auto" w:fill="FFFFFF"/>
            <w:vAlign w:val="center"/>
          </w:tcPr>
          <w:p w14:paraId="50209E7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310BE0E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400 g</w:t>
            </w:r>
          </w:p>
        </w:tc>
        <w:tc>
          <w:tcPr>
            <w:tcW w:w="744" w:type="dxa"/>
            <w:shd w:val="clear" w:color="auto" w:fill="FFFFFF"/>
            <w:vAlign w:val="center"/>
          </w:tcPr>
          <w:p w14:paraId="7CAEA3D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FFFFF"/>
            <w:vAlign w:val="center"/>
          </w:tcPr>
          <w:p w14:paraId="3658862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719DC35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FFFFF"/>
            <w:vAlign w:val="center"/>
          </w:tcPr>
          <w:p w14:paraId="1376EFE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6870690">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866" w:hRule="atLeast"/>
        </w:trPr>
        <w:tc>
          <w:tcPr>
            <w:tcW w:w="480" w:type="dxa"/>
            <w:shd w:val="clear" w:color="auto" w:fill="FBE4E8"/>
            <w:vAlign w:val="center"/>
          </w:tcPr>
          <w:p w14:paraId="37694C6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09</w:t>
            </w:r>
          </w:p>
        </w:tc>
        <w:tc>
          <w:tcPr>
            <w:tcW w:w="448" w:type="dxa"/>
            <w:shd w:val="clear" w:color="auto" w:fill="FBE4E8"/>
            <w:vAlign w:val="center"/>
          </w:tcPr>
          <w:p w14:paraId="2883652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1008AA4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87864</w:t>
            </w:r>
          </w:p>
        </w:tc>
        <w:tc>
          <w:tcPr>
            <w:tcW w:w="6839" w:type="dxa"/>
            <w:shd w:val="clear" w:color="auto" w:fill="FBE4E8"/>
            <w:vAlign w:val="center"/>
          </w:tcPr>
          <w:p w14:paraId="56B9A3C1">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Complemento Alimentar (tipo Sustagen):</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suplementação nutricional; adequado para uso em dietas que necessitam de reforço alimentar; validade mínima de 80% do prazo inicial ainda válido, contado a partir da data de entrega; produto deve atender às normas da ANVISA e legislações vigentes.</w:t>
            </w:r>
          </w:p>
        </w:tc>
        <w:tc>
          <w:tcPr>
            <w:tcW w:w="1254" w:type="dxa"/>
            <w:shd w:val="clear" w:color="auto" w:fill="FBE4E8"/>
            <w:vAlign w:val="center"/>
          </w:tcPr>
          <w:p w14:paraId="42454A8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4C245F6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350 g</w:t>
            </w:r>
          </w:p>
        </w:tc>
        <w:tc>
          <w:tcPr>
            <w:tcW w:w="744" w:type="dxa"/>
            <w:shd w:val="clear" w:color="auto" w:fill="FBE4E8"/>
            <w:vAlign w:val="center"/>
          </w:tcPr>
          <w:p w14:paraId="2E2B182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70ACAA6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2BF14F0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77DE24C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068F4B0">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295" w:hRule="atLeast"/>
        </w:trPr>
        <w:tc>
          <w:tcPr>
            <w:tcW w:w="480" w:type="dxa"/>
            <w:shd w:val="clear" w:color="auto" w:fill="FFFFFF"/>
            <w:vAlign w:val="center"/>
          </w:tcPr>
          <w:p w14:paraId="3F17B64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10</w:t>
            </w:r>
          </w:p>
        </w:tc>
        <w:tc>
          <w:tcPr>
            <w:tcW w:w="448" w:type="dxa"/>
            <w:shd w:val="clear" w:color="auto" w:fill="FFFFFF"/>
            <w:vAlign w:val="center"/>
          </w:tcPr>
          <w:p w14:paraId="0868D0E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79C6E2E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87865</w:t>
            </w:r>
          </w:p>
        </w:tc>
        <w:tc>
          <w:tcPr>
            <w:tcW w:w="6839" w:type="dxa"/>
            <w:shd w:val="clear" w:color="auto" w:fill="FFFFFF"/>
            <w:vAlign w:val="center"/>
          </w:tcPr>
          <w:p w14:paraId="2F18F234">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Molho de Tomate: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massas, pizzas e pratos diversos; validade mínima de 80% do prazo inicial ainda válido, contado a partir da data de entrega; produto deve atender às normas da ANVISA e legislações vigentes.</w:t>
            </w:r>
          </w:p>
        </w:tc>
        <w:tc>
          <w:tcPr>
            <w:tcW w:w="1254" w:type="dxa"/>
            <w:shd w:val="clear" w:color="auto" w:fill="FFFFFF"/>
            <w:vAlign w:val="center"/>
          </w:tcPr>
          <w:p w14:paraId="5682E5E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006FB81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300 g</w:t>
            </w:r>
          </w:p>
        </w:tc>
        <w:tc>
          <w:tcPr>
            <w:tcW w:w="744" w:type="dxa"/>
            <w:shd w:val="clear" w:color="auto" w:fill="FFFFFF"/>
            <w:vAlign w:val="center"/>
          </w:tcPr>
          <w:p w14:paraId="4CBF645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5168</w:t>
            </w:r>
          </w:p>
        </w:tc>
        <w:tc>
          <w:tcPr>
            <w:tcW w:w="1074" w:type="dxa"/>
            <w:shd w:val="clear" w:color="auto" w:fill="FFFFFF"/>
            <w:vAlign w:val="center"/>
          </w:tcPr>
          <w:p w14:paraId="131393F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605457C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1F981D6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4BEDA0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543" w:hRule="atLeast"/>
        </w:trPr>
        <w:tc>
          <w:tcPr>
            <w:tcW w:w="480" w:type="dxa"/>
            <w:vMerge w:val="restart"/>
            <w:shd w:val="clear" w:color="auto" w:fill="FBE4E8"/>
            <w:vAlign w:val="center"/>
          </w:tcPr>
          <w:p w14:paraId="6545379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11</w:t>
            </w:r>
          </w:p>
        </w:tc>
        <w:tc>
          <w:tcPr>
            <w:tcW w:w="448" w:type="dxa"/>
            <w:shd w:val="clear" w:color="auto" w:fill="FBE4E8"/>
            <w:vAlign w:val="center"/>
          </w:tcPr>
          <w:p w14:paraId="6FFA4F5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6812C97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87866</w:t>
            </w:r>
          </w:p>
        </w:tc>
        <w:tc>
          <w:tcPr>
            <w:tcW w:w="6839" w:type="dxa"/>
            <w:shd w:val="clear" w:color="auto" w:fill="FBE4E8"/>
            <w:vAlign w:val="center"/>
          </w:tcPr>
          <w:p w14:paraId="14CE2F8E">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Ketchup:</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lanches, hambúrgueres e batatas fritas; validade mínima de 80% do pazo inicial ainda válido, contado a partir da data de entrega; produto deve atender às normas da ANVISA e legislações vigentes.</w:t>
            </w:r>
          </w:p>
        </w:tc>
        <w:tc>
          <w:tcPr>
            <w:tcW w:w="1254" w:type="dxa"/>
            <w:shd w:val="clear" w:color="auto" w:fill="FBE4E8"/>
            <w:vAlign w:val="center"/>
          </w:tcPr>
          <w:p w14:paraId="38E177D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2C55D7B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400 g</w:t>
            </w:r>
          </w:p>
        </w:tc>
        <w:tc>
          <w:tcPr>
            <w:tcW w:w="744" w:type="dxa"/>
            <w:shd w:val="clear" w:color="auto" w:fill="FBE4E8"/>
            <w:vAlign w:val="center"/>
          </w:tcPr>
          <w:p w14:paraId="7C67308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600</w:t>
            </w:r>
          </w:p>
        </w:tc>
        <w:tc>
          <w:tcPr>
            <w:tcW w:w="1074" w:type="dxa"/>
            <w:shd w:val="clear" w:color="auto" w:fill="FBE4E8"/>
            <w:vAlign w:val="center"/>
          </w:tcPr>
          <w:p w14:paraId="2FFE649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2D73B2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BE4E8"/>
            <w:vAlign w:val="center"/>
          </w:tcPr>
          <w:p w14:paraId="648FAA4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536D67F9">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32" w:hRule="atLeast"/>
        </w:trPr>
        <w:tc>
          <w:tcPr>
            <w:tcW w:w="480" w:type="dxa"/>
            <w:vMerge w:val="continue"/>
            <w:shd w:val="clear" w:color="auto" w:fill="FBE4E8"/>
            <w:vAlign w:val="center"/>
          </w:tcPr>
          <w:p w14:paraId="5871FE28">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49ECFB3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1C5CB19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87867</w:t>
            </w:r>
          </w:p>
        </w:tc>
        <w:tc>
          <w:tcPr>
            <w:tcW w:w="6839" w:type="dxa"/>
            <w:shd w:val="clear" w:color="auto" w:fill="FBE4E8"/>
            <w:vAlign w:val="center"/>
          </w:tcPr>
          <w:p w14:paraId="12B7A172">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Mostarda: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lanches, sanduíches e saladas; validade mínima de 80% do prazo inicial ainda válido, contado a partir da data de entrega; produto deve atender às normas da ANVISA e legislações vigentes.</w:t>
            </w:r>
          </w:p>
        </w:tc>
        <w:tc>
          <w:tcPr>
            <w:tcW w:w="1254" w:type="dxa"/>
            <w:shd w:val="clear" w:color="auto" w:fill="FBE4E8"/>
            <w:vAlign w:val="center"/>
          </w:tcPr>
          <w:p w14:paraId="28293D7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076D2AD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180 g</w:t>
            </w:r>
          </w:p>
        </w:tc>
        <w:tc>
          <w:tcPr>
            <w:tcW w:w="744" w:type="dxa"/>
            <w:shd w:val="clear" w:color="auto" w:fill="FBE4E8"/>
            <w:vAlign w:val="center"/>
          </w:tcPr>
          <w:p w14:paraId="6716B56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555</w:t>
            </w:r>
          </w:p>
        </w:tc>
        <w:tc>
          <w:tcPr>
            <w:tcW w:w="1074" w:type="dxa"/>
            <w:shd w:val="clear" w:color="auto" w:fill="FBE4E8"/>
            <w:vAlign w:val="center"/>
          </w:tcPr>
          <w:p w14:paraId="666821F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198A91E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185E729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8CEF6A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15" w:hRule="atLeast"/>
        </w:trPr>
        <w:tc>
          <w:tcPr>
            <w:tcW w:w="480" w:type="dxa"/>
            <w:vMerge w:val="continue"/>
            <w:shd w:val="clear" w:color="auto" w:fill="FBE4E8"/>
            <w:vAlign w:val="center"/>
          </w:tcPr>
          <w:p w14:paraId="3CCE9666">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6DF131F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4022460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87868</w:t>
            </w:r>
          </w:p>
        </w:tc>
        <w:tc>
          <w:tcPr>
            <w:tcW w:w="6839" w:type="dxa"/>
            <w:shd w:val="clear" w:color="auto" w:fill="FBE4E8"/>
            <w:vAlign w:val="center"/>
          </w:tcPr>
          <w:p w14:paraId="142FF7CB">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Maionese: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sanduíches, saladas e pratos frios; validade mínima de 80% do prazo inicial ainda válido, contado a partir da data de entrega; produto deve atender às normas da ANVISA e legislações vigentes.</w:t>
            </w:r>
          </w:p>
        </w:tc>
        <w:tc>
          <w:tcPr>
            <w:tcW w:w="1254" w:type="dxa"/>
            <w:shd w:val="clear" w:color="auto" w:fill="FBE4E8"/>
            <w:vAlign w:val="center"/>
          </w:tcPr>
          <w:p w14:paraId="4DB1322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103F8BD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17016A4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580</w:t>
            </w:r>
          </w:p>
        </w:tc>
        <w:tc>
          <w:tcPr>
            <w:tcW w:w="1074" w:type="dxa"/>
            <w:shd w:val="clear" w:color="auto" w:fill="FBE4E8"/>
            <w:vAlign w:val="center"/>
          </w:tcPr>
          <w:p w14:paraId="1F960E3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EFE6F2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39EFA63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A500B9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54" w:hRule="atLeast"/>
        </w:trPr>
        <w:tc>
          <w:tcPr>
            <w:tcW w:w="480" w:type="dxa"/>
            <w:shd w:val="clear" w:color="auto" w:fill="FFFFFF"/>
            <w:vAlign w:val="center"/>
          </w:tcPr>
          <w:p w14:paraId="25AA104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12</w:t>
            </w:r>
          </w:p>
        </w:tc>
        <w:tc>
          <w:tcPr>
            <w:tcW w:w="448" w:type="dxa"/>
            <w:shd w:val="clear" w:color="auto" w:fill="FFFFFF"/>
            <w:vAlign w:val="center"/>
          </w:tcPr>
          <w:p w14:paraId="163E4E3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67BA420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87869</w:t>
            </w:r>
          </w:p>
        </w:tc>
        <w:tc>
          <w:tcPr>
            <w:tcW w:w="6839" w:type="dxa"/>
            <w:shd w:val="clear" w:color="auto" w:fill="FFFFFF"/>
            <w:vAlign w:val="center"/>
          </w:tcPr>
          <w:p w14:paraId="6743C7F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Molho de Pimenta: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carnes, petiscos e pratos apimentados; validade mínima de 80% do prazo inicial ainda válido, contado a partir da data de entrega; produto deve atender às normas da ANVISA e legislações vigentes.</w:t>
            </w:r>
          </w:p>
        </w:tc>
        <w:tc>
          <w:tcPr>
            <w:tcW w:w="1254" w:type="dxa"/>
            <w:shd w:val="clear" w:color="auto" w:fill="FFFFFF"/>
            <w:vAlign w:val="center"/>
          </w:tcPr>
          <w:p w14:paraId="0E5B542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16600BC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145 g</w:t>
            </w:r>
          </w:p>
        </w:tc>
        <w:tc>
          <w:tcPr>
            <w:tcW w:w="744" w:type="dxa"/>
            <w:shd w:val="clear" w:color="auto" w:fill="FFFFFF"/>
            <w:vAlign w:val="center"/>
          </w:tcPr>
          <w:p w14:paraId="3B09075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w:t>
            </w:r>
          </w:p>
        </w:tc>
        <w:tc>
          <w:tcPr>
            <w:tcW w:w="1074" w:type="dxa"/>
            <w:shd w:val="clear" w:color="auto" w:fill="FFFFFF"/>
            <w:vAlign w:val="center"/>
          </w:tcPr>
          <w:p w14:paraId="3773333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6753A79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77C897B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08E110B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654" w:hRule="atLeast"/>
        </w:trPr>
        <w:tc>
          <w:tcPr>
            <w:tcW w:w="480" w:type="dxa"/>
            <w:vMerge w:val="restart"/>
            <w:shd w:val="clear" w:color="auto" w:fill="FBE4E8"/>
            <w:vAlign w:val="center"/>
          </w:tcPr>
          <w:p w14:paraId="59304CF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13</w:t>
            </w:r>
          </w:p>
        </w:tc>
        <w:tc>
          <w:tcPr>
            <w:tcW w:w="448" w:type="dxa"/>
            <w:shd w:val="clear" w:color="auto" w:fill="FBE4E8"/>
            <w:vAlign w:val="center"/>
          </w:tcPr>
          <w:p w14:paraId="42A6368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2E783C3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87870</w:t>
            </w:r>
          </w:p>
        </w:tc>
        <w:tc>
          <w:tcPr>
            <w:tcW w:w="6839" w:type="dxa"/>
            <w:shd w:val="clear" w:color="auto" w:fill="FBE4E8"/>
            <w:vAlign w:val="center"/>
          </w:tcPr>
          <w:p w14:paraId="38E80D3C">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Concentrado (Caju):</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sobremesas e receitas diversas; validade mínima de 80% do prazo inicial ainda válido, contado a partir da data de entrega; produto deve atender às normas da ANVISA e legislações vigentes.</w:t>
            </w:r>
          </w:p>
        </w:tc>
        <w:tc>
          <w:tcPr>
            <w:tcW w:w="1254" w:type="dxa"/>
            <w:shd w:val="clear" w:color="auto" w:fill="FBE4E8"/>
            <w:vAlign w:val="center"/>
          </w:tcPr>
          <w:p w14:paraId="336970A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4D2FF9C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mL</w:t>
            </w:r>
          </w:p>
        </w:tc>
        <w:tc>
          <w:tcPr>
            <w:tcW w:w="744" w:type="dxa"/>
            <w:shd w:val="clear" w:color="auto" w:fill="FBE4E8"/>
            <w:vAlign w:val="center"/>
          </w:tcPr>
          <w:p w14:paraId="1BC3861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1620</w:t>
            </w:r>
          </w:p>
        </w:tc>
        <w:tc>
          <w:tcPr>
            <w:tcW w:w="1074" w:type="dxa"/>
            <w:shd w:val="clear" w:color="auto" w:fill="FBE4E8"/>
            <w:vAlign w:val="center"/>
          </w:tcPr>
          <w:p w14:paraId="63266C7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4AAA62D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BE4E8"/>
            <w:vAlign w:val="center"/>
          </w:tcPr>
          <w:p w14:paraId="1746261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1D93B92A">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43" w:hRule="atLeast"/>
        </w:trPr>
        <w:tc>
          <w:tcPr>
            <w:tcW w:w="480" w:type="dxa"/>
            <w:vMerge w:val="continue"/>
            <w:shd w:val="clear" w:color="auto" w:fill="FBE4E8"/>
            <w:vAlign w:val="center"/>
          </w:tcPr>
          <w:p w14:paraId="23B430AD">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67B5679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1044AA2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87871</w:t>
            </w:r>
          </w:p>
        </w:tc>
        <w:tc>
          <w:tcPr>
            <w:tcW w:w="6839" w:type="dxa"/>
            <w:shd w:val="clear" w:color="auto" w:fill="FBE4E8"/>
            <w:vAlign w:val="center"/>
          </w:tcPr>
          <w:p w14:paraId="04365497">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Concentrado (Maracujá):</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sobremesas e receitas diversas; validade mínima de 80% do prazo inicial ainda válido, contado a partir da data de entrega; produto deve atender às normas da ANVISA e legislações vigentes.</w:t>
            </w:r>
          </w:p>
        </w:tc>
        <w:tc>
          <w:tcPr>
            <w:tcW w:w="1254" w:type="dxa"/>
            <w:shd w:val="clear" w:color="auto" w:fill="FBE4E8"/>
            <w:vAlign w:val="center"/>
          </w:tcPr>
          <w:p w14:paraId="2066AAE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6FE239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mL</w:t>
            </w:r>
          </w:p>
        </w:tc>
        <w:tc>
          <w:tcPr>
            <w:tcW w:w="744" w:type="dxa"/>
            <w:shd w:val="clear" w:color="auto" w:fill="FBE4E8"/>
            <w:vAlign w:val="center"/>
          </w:tcPr>
          <w:p w14:paraId="6D6FF45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1620</w:t>
            </w:r>
          </w:p>
        </w:tc>
        <w:tc>
          <w:tcPr>
            <w:tcW w:w="1074" w:type="dxa"/>
            <w:shd w:val="clear" w:color="auto" w:fill="FBE4E8"/>
            <w:vAlign w:val="center"/>
          </w:tcPr>
          <w:p w14:paraId="7CDE008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276E00A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2CD09D6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9A9384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647" w:hRule="atLeast"/>
        </w:trPr>
        <w:tc>
          <w:tcPr>
            <w:tcW w:w="480" w:type="dxa"/>
            <w:vMerge w:val="continue"/>
            <w:shd w:val="clear" w:color="auto" w:fill="FBE4E8"/>
            <w:vAlign w:val="center"/>
          </w:tcPr>
          <w:p w14:paraId="7A0D4207">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3F762A7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2E18ECD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87872</w:t>
            </w:r>
          </w:p>
        </w:tc>
        <w:tc>
          <w:tcPr>
            <w:tcW w:w="6839" w:type="dxa"/>
            <w:shd w:val="clear" w:color="auto" w:fill="FBE4E8"/>
            <w:vAlign w:val="center"/>
          </w:tcPr>
          <w:p w14:paraId="1B4F9CA6">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Concentrado (Uva):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sobremesas e receitas diversas; sabores diversos, incluindo: caju, maracujá e uva; validade mínima de 80% do prazo inicial ainda válido, contado a partir da data de entrega; produto deve atender às normas da ANVISA e legislações vigentes.</w:t>
            </w:r>
          </w:p>
        </w:tc>
        <w:tc>
          <w:tcPr>
            <w:tcW w:w="1254" w:type="dxa"/>
            <w:shd w:val="clear" w:color="auto" w:fill="FBE4E8"/>
            <w:vAlign w:val="center"/>
          </w:tcPr>
          <w:p w14:paraId="130E366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FEC0C4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mL</w:t>
            </w:r>
          </w:p>
        </w:tc>
        <w:tc>
          <w:tcPr>
            <w:tcW w:w="744" w:type="dxa"/>
            <w:shd w:val="clear" w:color="auto" w:fill="FBE4E8"/>
            <w:vAlign w:val="center"/>
          </w:tcPr>
          <w:p w14:paraId="7DD3965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1620</w:t>
            </w:r>
          </w:p>
        </w:tc>
        <w:tc>
          <w:tcPr>
            <w:tcW w:w="1074" w:type="dxa"/>
            <w:shd w:val="clear" w:color="auto" w:fill="FBE4E8"/>
            <w:vAlign w:val="center"/>
          </w:tcPr>
          <w:p w14:paraId="5549365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7376B4A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41DA681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FFB4646">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92" w:hRule="atLeast"/>
        </w:trPr>
        <w:tc>
          <w:tcPr>
            <w:tcW w:w="480" w:type="dxa"/>
            <w:vMerge w:val="restart"/>
            <w:shd w:val="clear" w:color="auto" w:fill="FFFFFF"/>
            <w:vAlign w:val="center"/>
          </w:tcPr>
          <w:p w14:paraId="066F4F3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14</w:t>
            </w:r>
          </w:p>
        </w:tc>
        <w:tc>
          <w:tcPr>
            <w:tcW w:w="448" w:type="dxa"/>
            <w:shd w:val="clear" w:color="auto" w:fill="FFFFFF"/>
            <w:vAlign w:val="center"/>
          </w:tcPr>
          <w:p w14:paraId="66A64B6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21E2FFA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87873</w:t>
            </w:r>
          </w:p>
        </w:tc>
        <w:tc>
          <w:tcPr>
            <w:tcW w:w="6839" w:type="dxa"/>
            <w:shd w:val="clear" w:color="auto" w:fill="FFFFFF"/>
            <w:vAlign w:val="center"/>
          </w:tcPr>
          <w:p w14:paraId="4B13EC16">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Néctar da Fruta (200 mL):</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e sobremesas; sabores diversos, incluindo: maracujá, uva, laranja, entre outros; validade mínima de 80% do prazo inicial ainda válido, contado a partir da data de entrega; produto deve atender às normas da ANVISA e legislações vigentes.</w:t>
            </w:r>
          </w:p>
        </w:tc>
        <w:tc>
          <w:tcPr>
            <w:tcW w:w="1254" w:type="dxa"/>
            <w:shd w:val="clear" w:color="auto" w:fill="FFFFFF"/>
            <w:vAlign w:val="center"/>
          </w:tcPr>
          <w:p w14:paraId="35C6886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14E9CF0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mL</w:t>
            </w:r>
          </w:p>
        </w:tc>
        <w:tc>
          <w:tcPr>
            <w:tcW w:w="744" w:type="dxa"/>
            <w:shd w:val="clear" w:color="auto" w:fill="FFFFFF"/>
            <w:vAlign w:val="center"/>
          </w:tcPr>
          <w:p w14:paraId="3BF2799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3000</w:t>
            </w:r>
          </w:p>
        </w:tc>
        <w:tc>
          <w:tcPr>
            <w:tcW w:w="1074" w:type="dxa"/>
            <w:shd w:val="clear" w:color="auto" w:fill="FFFFFF"/>
            <w:vAlign w:val="center"/>
          </w:tcPr>
          <w:p w14:paraId="04A139F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2B52F49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FFFFF"/>
            <w:vAlign w:val="center"/>
          </w:tcPr>
          <w:p w14:paraId="3CEFC25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658DD2A7">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81" w:hRule="atLeast"/>
        </w:trPr>
        <w:tc>
          <w:tcPr>
            <w:tcW w:w="480" w:type="dxa"/>
            <w:vMerge w:val="continue"/>
            <w:shd w:val="clear" w:color="auto" w:fill="FFFFFF"/>
            <w:vAlign w:val="center"/>
          </w:tcPr>
          <w:p w14:paraId="4F15EB4A">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52ED4FE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FFFFF"/>
            <w:vAlign w:val="center"/>
          </w:tcPr>
          <w:p w14:paraId="4156C8F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87874</w:t>
            </w:r>
          </w:p>
        </w:tc>
        <w:tc>
          <w:tcPr>
            <w:tcW w:w="6839" w:type="dxa"/>
            <w:shd w:val="clear" w:color="auto" w:fill="FFFFFF"/>
            <w:vAlign w:val="center"/>
          </w:tcPr>
          <w:p w14:paraId="2961635C">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de Néctar da Fruta (1 L):</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e sobremesas; sabores diversos, incluindo: maracujá, uva, laranja, entre outros; validade mínima de 80% do prazo inicial ainda válido, contado a partir da data de entrega; produto deve atender às normas da ANVISA e legislações vigentes.</w:t>
            </w:r>
          </w:p>
        </w:tc>
        <w:tc>
          <w:tcPr>
            <w:tcW w:w="1254" w:type="dxa"/>
            <w:shd w:val="clear" w:color="auto" w:fill="FFFFFF"/>
            <w:vAlign w:val="center"/>
          </w:tcPr>
          <w:p w14:paraId="4129ADB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0A4997C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L</w:t>
            </w:r>
          </w:p>
        </w:tc>
        <w:tc>
          <w:tcPr>
            <w:tcW w:w="744" w:type="dxa"/>
            <w:shd w:val="clear" w:color="auto" w:fill="FFFFFF"/>
            <w:vAlign w:val="center"/>
          </w:tcPr>
          <w:p w14:paraId="0D42367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1820</w:t>
            </w:r>
          </w:p>
        </w:tc>
        <w:tc>
          <w:tcPr>
            <w:tcW w:w="1074" w:type="dxa"/>
            <w:shd w:val="clear" w:color="auto" w:fill="FFFFFF"/>
            <w:vAlign w:val="center"/>
          </w:tcPr>
          <w:p w14:paraId="5234E75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1BF196F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FFFFF"/>
            <w:vAlign w:val="center"/>
          </w:tcPr>
          <w:p w14:paraId="1F86CCB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682F42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19" w:hRule="atLeast"/>
        </w:trPr>
        <w:tc>
          <w:tcPr>
            <w:tcW w:w="480" w:type="dxa"/>
            <w:vMerge w:val="restart"/>
            <w:shd w:val="clear" w:color="auto" w:fill="FBE4E8"/>
            <w:vAlign w:val="center"/>
          </w:tcPr>
          <w:p w14:paraId="136BDF7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15</w:t>
            </w:r>
          </w:p>
        </w:tc>
        <w:tc>
          <w:tcPr>
            <w:tcW w:w="448" w:type="dxa"/>
            <w:shd w:val="clear" w:color="auto" w:fill="FBE4E8"/>
            <w:vAlign w:val="center"/>
          </w:tcPr>
          <w:p w14:paraId="48A0A02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1</w:t>
            </w:r>
          </w:p>
        </w:tc>
        <w:tc>
          <w:tcPr>
            <w:tcW w:w="792" w:type="dxa"/>
            <w:shd w:val="clear" w:color="auto" w:fill="FBE4E8"/>
            <w:vAlign w:val="center"/>
          </w:tcPr>
          <w:p w14:paraId="47DC097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en-US" w:eastAsia="zh-CN" w:bidi="ar"/>
              </w:rPr>
              <w:t>8787</w:t>
            </w:r>
            <w:r>
              <w:rPr>
                <w:rFonts w:hint="default" w:ascii="Arial Nova Cond" w:hAnsi="Arial Nova Cond" w:eastAsia="Aptos Narrow" w:cs="Arial Nova Cond"/>
                <w:b w:val="0"/>
                <w:bCs w:val="0"/>
                <w:i w:val="0"/>
                <w:iCs w:val="0"/>
                <w:color w:val="000000"/>
                <w:kern w:val="0"/>
                <w:sz w:val="18"/>
                <w:szCs w:val="18"/>
                <w:u w:val="none"/>
                <w:lang w:val="pt-BR" w:eastAsia="zh-CN" w:bidi="ar"/>
              </w:rPr>
              <w:t>5</w:t>
            </w:r>
          </w:p>
        </w:tc>
        <w:tc>
          <w:tcPr>
            <w:tcW w:w="6839" w:type="dxa"/>
            <w:shd w:val="clear" w:color="auto" w:fill="FBE4E8"/>
            <w:vAlign w:val="center"/>
          </w:tcPr>
          <w:p w14:paraId="7F78C81F">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Gelatina Dietética: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sobremesas, mousses e pratos dietéticos; sabores diversos; validade mínima de 80% do prazo inicial ainda válido, contado a partir da data de entrega; produto deve atender às normas da ANVISA e legislações vigentes.</w:t>
            </w:r>
          </w:p>
        </w:tc>
        <w:tc>
          <w:tcPr>
            <w:tcW w:w="1254" w:type="dxa"/>
            <w:shd w:val="clear" w:color="auto" w:fill="FBE4E8"/>
            <w:vAlign w:val="center"/>
          </w:tcPr>
          <w:p w14:paraId="7C988BC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22266F4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12 g</w:t>
            </w:r>
          </w:p>
        </w:tc>
        <w:tc>
          <w:tcPr>
            <w:tcW w:w="744" w:type="dxa"/>
            <w:shd w:val="clear" w:color="auto" w:fill="FBE4E8"/>
            <w:vAlign w:val="center"/>
          </w:tcPr>
          <w:p w14:paraId="00C86D5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1500</w:t>
            </w:r>
          </w:p>
        </w:tc>
        <w:tc>
          <w:tcPr>
            <w:tcW w:w="1074" w:type="dxa"/>
            <w:shd w:val="clear" w:color="auto" w:fill="FBE4E8"/>
            <w:vAlign w:val="center"/>
          </w:tcPr>
          <w:p w14:paraId="5FE6697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739F49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BE4E8"/>
            <w:vAlign w:val="center"/>
          </w:tcPr>
          <w:p w14:paraId="41BA5FB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3294E5FA">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268" w:hRule="atLeast"/>
        </w:trPr>
        <w:tc>
          <w:tcPr>
            <w:tcW w:w="480" w:type="dxa"/>
            <w:vMerge w:val="continue"/>
            <w:shd w:val="clear" w:color="auto" w:fill="FBE4E8"/>
            <w:vAlign w:val="center"/>
          </w:tcPr>
          <w:p w14:paraId="0F61FFF4">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28E826D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53D90B4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en-US" w:eastAsia="zh-CN" w:bidi="ar"/>
              </w:rPr>
              <w:t>8787</w:t>
            </w:r>
            <w:r>
              <w:rPr>
                <w:rFonts w:hint="default" w:ascii="Arial Nova Cond" w:hAnsi="Arial Nova Cond" w:eastAsia="Aptos Narrow" w:cs="Arial Nova Cond"/>
                <w:b w:val="0"/>
                <w:bCs w:val="0"/>
                <w:i w:val="0"/>
                <w:iCs w:val="0"/>
                <w:color w:val="000000"/>
                <w:kern w:val="0"/>
                <w:sz w:val="18"/>
                <w:szCs w:val="18"/>
                <w:u w:val="none"/>
                <w:lang w:val="pt-BR" w:eastAsia="zh-CN" w:bidi="ar"/>
              </w:rPr>
              <w:t>6</w:t>
            </w:r>
          </w:p>
        </w:tc>
        <w:tc>
          <w:tcPr>
            <w:tcW w:w="6839" w:type="dxa"/>
            <w:shd w:val="clear" w:color="auto" w:fill="FBE4E8"/>
            <w:vAlign w:val="center"/>
          </w:tcPr>
          <w:p w14:paraId="1FBCF3D3">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Gelatina: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sobremesas, mousses e outros pratos doces; validade mínima de 80% do prazo inicial ainda válido, contado a partir da data de entrega; produto deve atender às normas da ANVISA e legislações vigentes.</w:t>
            </w:r>
          </w:p>
        </w:tc>
        <w:tc>
          <w:tcPr>
            <w:tcW w:w="1254" w:type="dxa"/>
            <w:shd w:val="clear" w:color="auto" w:fill="FBE4E8"/>
            <w:vAlign w:val="center"/>
          </w:tcPr>
          <w:p w14:paraId="3BE2E18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5FE9E02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20g</w:t>
            </w:r>
          </w:p>
        </w:tc>
        <w:tc>
          <w:tcPr>
            <w:tcW w:w="744" w:type="dxa"/>
            <w:shd w:val="clear" w:color="auto" w:fill="FBE4E8"/>
            <w:vAlign w:val="center"/>
          </w:tcPr>
          <w:p w14:paraId="138673F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10000</w:t>
            </w:r>
          </w:p>
        </w:tc>
        <w:tc>
          <w:tcPr>
            <w:tcW w:w="1074" w:type="dxa"/>
            <w:shd w:val="clear" w:color="auto" w:fill="FBE4E8"/>
            <w:vAlign w:val="center"/>
          </w:tcPr>
          <w:p w14:paraId="1E8BC11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0457836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2F0B72B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1ADF1A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30" w:hRule="atLeast"/>
        </w:trPr>
        <w:tc>
          <w:tcPr>
            <w:tcW w:w="480" w:type="dxa"/>
            <w:vMerge w:val="continue"/>
            <w:shd w:val="clear" w:color="auto" w:fill="FBE4E8"/>
            <w:vAlign w:val="center"/>
          </w:tcPr>
          <w:p w14:paraId="1DB175D4">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743B590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1A5714B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en-US" w:eastAsia="zh-CN" w:bidi="ar"/>
              </w:rPr>
              <w:t>8787</w:t>
            </w:r>
            <w:r>
              <w:rPr>
                <w:rFonts w:hint="default" w:ascii="Arial Nova Cond" w:hAnsi="Arial Nova Cond" w:eastAsia="Aptos Narrow" w:cs="Arial Nova Cond"/>
                <w:b w:val="0"/>
                <w:bCs w:val="0"/>
                <w:i w:val="0"/>
                <w:iCs w:val="0"/>
                <w:color w:val="000000"/>
                <w:kern w:val="0"/>
                <w:sz w:val="18"/>
                <w:szCs w:val="18"/>
                <w:u w:val="none"/>
                <w:lang w:val="pt-BR" w:eastAsia="zh-CN" w:bidi="ar"/>
              </w:rPr>
              <w:t>7</w:t>
            </w:r>
          </w:p>
        </w:tc>
        <w:tc>
          <w:tcPr>
            <w:tcW w:w="6839" w:type="dxa"/>
            <w:shd w:val="clear" w:color="auto" w:fill="FBE4E8"/>
            <w:vAlign w:val="center"/>
          </w:tcPr>
          <w:p w14:paraId="7223C226">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Gelatina Sem Sabor:</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sobremesas, mousses, e outros pratos que necessitem de gelificação; validade mínima de 80% do prazo inicial ainda válido, contado a partir da data de entrega; produto deve atender às normas da ANVISA e legislações vigentes.</w:t>
            </w:r>
          </w:p>
        </w:tc>
        <w:tc>
          <w:tcPr>
            <w:tcW w:w="1254" w:type="dxa"/>
            <w:shd w:val="clear" w:color="auto" w:fill="FBE4E8"/>
            <w:vAlign w:val="center"/>
          </w:tcPr>
          <w:p w14:paraId="7AA4671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49CA98A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12 g</w:t>
            </w:r>
          </w:p>
        </w:tc>
        <w:tc>
          <w:tcPr>
            <w:tcW w:w="744" w:type="dxa"/>
            <w:shd w:val="clear" w:color="auto" w:fill="FBE4E8"/>
            <w:vAlign w:val="center"/>
          </w:tcPr>
          <w:p w14:paraId="36DC991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300</w:t>
            </w:r>
          </w:p>
        </w:tc>
        <w:tc>
          <w:tcPr>
            <w:tcW w:w="1074" w:type="dxa"/>
            <w:shd w:val="clear" w:color="auto" w:fill="FBE4E8"/>
            <w:vAlign w:val="center"/>
          </w:tcPr>
          <w:p w14:paraId="3EDF4E2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04F6EA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48B9497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592BA1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67" w:hRule="atLeast"/>
        </w:trPr>
        <w:tc>
          <w:tcPr>
            <w:tcW w:w="480" w:type="dxa"/>
            <w:shd w:val="clear" w:color="auto" w:fill="FFFFFF"/>
            <w:vAlign w:val="center"/>
          </w:tcPr>
          <w:p w14:paraId="4C2B860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16</w:t>
            </w:r>
          </w:p>
        </w:tc>
        <w:tc>
          <w:tcPr>
            <w:tcW w:w="448" w:type="dxa"/>
            <w:shd w:val="clear" w:color="auto" w:fill="FFFFFF"/>
            <w:vAlign w:val="center"/>
          </w:tcPr>
          <w:p w14:paraId="26D086E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03A6D06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87878</w:t>
            </w:r>
          </w:p>
        </w:tc>
        <w:tc>
          <w:tcPr>
            <w:tcW w:w="6839" w:type="dxa"/>
            <w:shd w:val="clear" w:color="auto" w:fill="FFFFFF"/>
            <w:vAlign w:val="center"/>
          </w:tcPr>
          <w:p w14:paraId="42E7E9F0">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Ovos Brancos de Galinha:</w:t>
            </w:r>
            <w:r>
              <w:rPr>
                <w:rFonts w:hint="default" w:ascii="Arial Nova Cond" w:hAnsi="Arial Nova Cond" w:eastAsia="Aptos Narrow" w:cs="Arial Nova Cond"/>
                <w:i w:val="0"/>
                <w:iCs w:val="0"/>
                <w:color w:val="000000"/>
                <w:kern w:val="0"/>
                <w:sz w:val="18"/>
                <w:szCs w:val="18"/>
                <w:u w:val="none"/>
                <w:lang w:val="en-US" w:eastAsia="zh-CN" w:bidi="ar"/>
              </w:rPr>
              <w:t xml:space="preserve"> de acordo com o permitido pela legislação vigente; adequados para uso em preparações culinárias, como bolos, tortas, omeletes e outros pratos; validade mínima de 80% do prazo inicial ainda válido, contado a partir da data de entrega; produto deve atender às normas da ANVISA e legislações vigentes.</w:t>
            </w:r>
          </w:p>
        </w:tc>
        <w:tc>
          <w:tcPr>
            <w:tcW w:w="1254" w:type="dxa"/>
            <w:shd w:val="clear" w:color="auto" w:fill="FFFFFF"/>
            <w:vAlign w:val="center"/>
          </w:tcPr>
          <w:p w14:paraId="17CD348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6B27AB5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Dúzia</w:t>
            </w:r>
          </w:p>
        </w:tc>
        <w:tc>
          <w:tcPr>
            <w:tcW w:w="744" w:type="dxa"/>
            <w:shd w:val="clear" w:color="auto" w:fill="FFFFFF"/>
            <w:vAlign w:val="center"/>
          </w:tcPr>
          <w:p w14:paraId="22CAA09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2010</w:t>
            </w:r>
          </w:p>
        </w:tc>
        <w:tc>
          <w:tcPr>
            <w:tcW w:w="1074" w:type="dxa"/>
            <w:shd w:val="clear" w:color="auto" w:fill="FFFFFF"/>
            <w:vAlign w:val="center"/>
          </w:tcPr>
          <w:p w14:paraId="7D404AA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27B6D5B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7C7D317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3A84D56">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14" w:hRule="atLeast"/>
        </w:trPr>
        <w:tc>
          <w:tcPr>
            <w:tcW w:w="480" w:type="dxa"/>
            <w:shd w:val="clear" w:color="auto" w:fill="FBE4E8"/>
            <w:vAlign w:val="center"/>
          </w:tcPr>
          <w:p w14:paraId="614166B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17</w:t>
            </w:r>
          </w:p>
        </w:tc>
        <w:tc>
          <w:tcPr>
            <w:tcW w:w="448" w:type="dxa"/>
            <w:shd w:val="clear" w:color="auto" w:fill="FBE4E8"/>
            <w:vAlign w:val="center"/>
          </w:tcPr>
          <w:p w14:paraId="6731DD8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3DA1529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87879</w:t>
            </w:r>
          </w:p>
        </w:tc>
        <w:tc>
          <w:tcPr>
            <w:tcW w:w="6839" w:type="dxa"/>
            <w:shd w:val="clear" w:color="auto" w:fill="FBE4E8"/>
            <w:vAlign w:val="center"/>
          </w:tcPr>
          <w:p w14:paraId="1DF122E0">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Leite de Coco: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sobremesas e afins; validade mínima de 80% do prazo inicial ainda válido, contado a partir da data de entrega; produto deve atender às normas da ANVISA e legislações vigentes.</w:t>
            </w:r>
          </w:p>
        </w:tc>
        <w:tc>
          <w:tcPr>
            <w:tcW w:w="1254" w:type="dxa"/>
            <w:shd w:val="clear" w:color="auto" w:fill="FBE4E8"/>
            <w:vAlign w:val="center"/>
          </w:tcPr>
          <w:p w14:paraId="6D4EE5E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1A51E9B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mL</w:t>
            </w:r>
          </w:p>
        </w:tc>
        <w:tc>
          <w:tcPr>
            <w:tcW w:w="744" w:type="dxa"/>
            <w:shd w:val="clear" w:color="auto" w:fill="FBE4E8"/>
            <w:vAlign w:val="center"/>
          </w:tcPr>
          <w:p w14:paraId="5390852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510</w:t>
            </w:r>
          </w:p>
        </w:tc>
        <w:tc>
          <w:tcPr>
            <w:tcW w:w="1074" w:type="dxa"/>
            <w:shd w:val="clear" w:color="auto" w:fill="FBE4E8"/>
            <w:vAlign w:val="center"/>
          </w:tcPr>
          <w:p w14:paraId="7EFFBCE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5928C85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5CDC2CC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FD579F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588" w:hRule="atLeast"/>
        </w:trPr>
        <w:tc>
          <w:tcPr>
            <w:tcW w:w="480" w:type="dxa"/>
            <w:shd w:val="clear" w:color="auto" w:fill="FFFFFF"/>
            <w:vAlign w:val="center"/>
          </w:tcPr>
          <w:p w14:paraId="409D3B23">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18</w:t>
            </w:r>
          </w:p>
        </w:tc>
        <w:tc>
          <w:tcPr>
            <w:tcW w:w="448" w:type="dxa"/>
            <w:shd w:val="clear" w:color="auto" w:fill="FFFFFF"/>
            <w:vAlign w:val="center"/>
          </w:tcPr>
          <w:p w14:paraId="1D35C54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3080D68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87880</w:t>
            </w:r>
          </w:p>
        </w:tc>
        <w:tc>
          <w:tcPr>
            <w:tcW w:w="6839" w:type="dxa"/>
            <w:shd w:val="clear" w:color="auto" w:fill="FFFFFF"/>
            <w:vAlign w:val="center"/>
          </w:tcPr>
          <w:p w14:paraId="5BAB27D3">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Achocolatado em Pó:</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pó fino, de cor marrom escuro, com aroma característico de cacau; adequado para uso em preparações culinárias, como bebidas, bolos, sobremesas e recheios; validade mínima de 80% do prazo inicial ainda válido, contado a partir da data de entrega; produto deve atender às normas da ANVISA e legislações vigentes.</w:t>
            </w:r>
          </w:p>
        </w:tc>
        <w:tc>
          <w:tcPr>
            <w:tcW w:w="1254" w:type="dxa"/>
            <w:shd w:val="clear" w:color="auto" w:fill="FFFFFF"/>
            <w:vAlign w:val="center"/>
          </w:tcPr>
          <w:p w14:paraId="487E05A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3337A0E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350 g</w:t>
            </w:r>
          </w:p>
        </w:tc>
        <w:tc>
          <w:tcPr>
            <w:tcW w:w="744" w:type="dxa"/>
            <w:shd w:val="clear" w:color="auto" w:fill="FFFFFF"/>
            <w:vAlign w:val="center"/>
          </w:tcPr>
          <w:p w14:paraId="2A6989C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1060</w:t>
            </w:r>
          </w:p>
        </w:tc>
        <w:tc>
          <w:tcPr>
            <w:tcW w:w="1074" w:type="dxa"/>
            <w:shd w:val="clear" w:color="auto" w:fill="FFFFFF"/>
            <w:vAlign w:val="center"/>
          </w:tcPr>
          <w:p w14:paraId="59DE6EB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17CE45A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68C8480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5F5C57C">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95" w:hRule="atLeast"/>
        </w:trPr>
        <w:tc>
          <w:tcPr>
            <w:tcW w:w="480" w:type="dxa"/>
            <w:shd w:val="clear" w:color="auto" w:fill="FBE4E8"/>
            <w:vAlign w:val="center"/>
          </w:tcPr>
          <w:p w14:paraId="2B5351C4">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19</w:t>
            </w:r>
          </w:p>
        </w:tc>
        <w:tc>
          <w:tcPr>
            <w:tcW w:w="448" w:type="dxa"/>
            <w:shd w:val="clear" w:color="auto" w:fill="FBE4E8"/>
            <w:vAlign w:val="center"/>
          </w:tcPr>
          <w:p w14:paraId="675B4FF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2E0515F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87881</w:t>
            </w:r>
          </w:p>
        </w:tc>
        <w:tc>
          <w:tcPr>
            <w:tcW w:w="6839" w:type="dxa"/>
            <w:shd w:val="clear" w:color="auto" w:fill="FBE4E8"/>
            <w:vAlign w:val="center"/>
          </w:tcPr>
          <w:p w14:paraId="54B4900C">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Refresco em Pó:</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pó colorido, com aroma característico da fruta ou sabor artificial; adequado para uso em preparações culinárias, como bebidas refrescantes e receitas diversas; sabores diversos; validade mínima de 80% do prazo inicial ainda válido, contado a partir da data de entrega; produto deve atender às normas da ANVISA e legislações vigentes.</w:t>
            </w:r>
          </w:p>
        </w:tc>
        <w:tc>
          <w:tcPr>
            <w:tcW w:w="1254" w:type="dxa"/>
            <w:shd w:val="clear" w:color="auto" w:fill="FBE4E8"/>
            <w:vAlign w:val="center"/>
          </w:tcPr>
          <w:p w14:paraId="7EA735E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2067F81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18 g</w:t>
            </w:r>
          </w:p>
        </w:tc>
        <w:tc>
          <w:tcPr>
            <w:tcW w:w="744" w:type="dxa"/>
            <w:shd w:val="clear" w:color="auto" w:fill="FBE4E8"/>
            <w:vAlign w:val="center"/>
          </w:tcPr>
          <w:p w14:paraId="321C3F8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20500</w:t>
            </w:r>
          </w:p>
        </w:tc>
        <w:tc>
          <w:tcPr>
            <w:tcW w:w="1074" w:type="dxa"/>
            <w:shd w:val="clear" w:color="auto" w:fill="FBE4E8"/>
            <w:vAlign w:val="center"/>
          </w:tcPr>
          <w:p w14:paraId="6692EE8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26C4370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79827FF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2B0E648C">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827" w:hRule="atLeast"/>
        </w:trPr>
        <w:tc>
          <w:tcPr>
            <w:tcW w:w="480" w:type="dxa"/>
            <w:shd w:val="clear" w:color="auto" w:fill="FFFFFF"/>
            <w:vAlign w:val="center"/>
          </w:tcPr>
          <w:p w14:paraId="2FD9F6F8">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w:t>
            </w:r>
          </w:p>
        </w:tc>
        <w:tc>
          <w:tcPr>
            <w:tcW w:w="448" w:type="dxa"/>
            <w:shd w:val="clear" w:color="auto" w:fill="FFFFFF"/>
            <w:vAlign w:val="center"/>
          </w:tcPr>
          <w:p w14:paraId="4ED109A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54602ED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87882</w:t>
            </w:r>
          </w:p>
        </w:tc>
        <w:tc>
          <w:tcPr>
            <w:tcW w:w="6839" w:type="dxa"/>
            <w:shd w:val="clear" w:color="auto" w:fill="FFFFFF"/>
            <w:vAlign w:val="center"/>
          </w:tcPr>
          <w:p w14:paraId="449082FE">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Refrigerante: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límpido e efervescente, com cor e sabor característicos do tipo de refrigerante; adequado para consumo direto ou em preparações culinárias, como bebidas em festas e eventos; sabores diversos, incluindo: guaraná, laranja e uva; validade mínima de 80% do prazo inicial ainda válido, contado a partir da data de entrega; produto deve atender às normas da ANVISA e legislações vigentes.</w:t>
            </w:r>
          </w:p>
        </w:tc>
        <w:tc>
          <w:tcPr>
            <w:tcW w:w="1254" w:type="dxa"/>
            <w:shd w:val="clear" w:color="auto" w:fill="FFFFFF"/>
            <w:vAlign w:val="center"/>
          </w:tcPr>
          <w:p w14:paraId="636BC9A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0AAC797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 L</w:t>
            </w:r>
          </w:p>
        </w:tc>
        <w:tc>
          <w:tcPr>
            <w:tcW w:w="744" w:type="dxa"/>
            <w:shd w:val="clear" w:color="auto" w:fill="FFFFFF"/>
            <w:vAlign w:val="center"/>
          </w:tcPr>
          <w:p w14:paraId="0C6CC00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7120</w:t>
            </w:r>
          </w:p>
        </w:tc>
        <w:tc>
          <w:tcPr>
            <w:tcW w:w="1074" w:type="dxa"/>
            <w:shd w:val="clear" w:color="auto" w:fill="FFFFFF"/>
            <w:vAlign w:val="center"/>
          </w:tcPr>
          <w:p w14:paraId="1BED664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0C8DC7E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0C93D2B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55550329">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52" w:hRule="atLeast"/>
        </w:trPr>
        <w:tc>
          <w:tcPr>
            <w:tcW w:w="480" w:type="dxa"/>
            <w:shd w:val="clear" w:color="auto" w:fill="FBE4E8"/>
            <w:vAlign w:val="center"/>
          </w:tcPr>
          <w:p w14:paraId="319AC36D">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21</w:t>
            </w:r>
          </w:p>
        </w:tc>
        <w:tc>
          <w:tcPr>
            <w:tcW w:w="448" w:type="dxa"/>
            <w:shd w:val="clear" w:color="auto" w:fill="FBE4E8"/>
            <w:vAlign w:val="center"/>
          </w:tcPr>
          <w:p w14:paraId="5BE2C56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2200442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87883</w:t>
            </w:r>
          </w:p>
        </w:tc>
        <w:tc>
          <w:tcPr>
            <w:tcW w:w="6839" w:type="dxa"/>
            <w:shd w:val="clear" w:color="auto" w:fill="FBE4E8"/>
            <w:vAlign w:val="center"/>
          </w:tcPr>
          <w:p w14:paraId="3CEF1DA3">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Essência de Baunilha: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líquido, incolor ou ligeiramente amarelado, com aroma característico de baunilha; adequada para uso em preparações culinárias, como bolos, doces, sobremesas e receitas diversas; validade mínima de 80% do prazo inicial ainda válido, contado a partir da data de entrega; produto deve atender às normas da ANVISA e legislações vigentes.</w:t>
            </w:r>
          </w:p>
        </w:tc>
        <w:tc>
          <w:tcPr>
            <w:tcW w:w="1254" w:type="dxa"/>
            <w:shd w:val="clear" w:color="auto" w:fill="FBE4E8"/>
            <w:vAlign w:val="center"/>
          </w:tcPr>
          <w:p w14:paraId="49AB327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25CCEE6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30 mL</w:t>
            </w:r>
          </w:p>
        </w:tc>
        <w:tc>
          <w:tcPr>
            <w:tcW w:w="744" w:type="dxa"/>
            <w:shd w:val="clear" w:color="auto" w:fill="FBE4E8"/>
            <w:vAlign w:val="center"/>
          </w:tcPr>
          <w:p w14:paraId="2B89B32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106</w:t>
            </w:r>
          </w:p>
        </w:tc>
        <w:tc>
          <w:tcPr>
            <w:tcW w:w="1074" w:type="dxa"/>
            <w:shd w:val="clear" w:color="auto" w:fill="FBE4E8"/>
            <w:vAlign w:val="center"/>
          </w:tcPr>
          <w:p w14:paraId="6D95684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26E64EC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15CEF5C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1910650">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82" w:hRule="atLeast"/>
        </w:trPr>
        <w:tc>
          <w:tcPr>
            <w:tcW w:w="480" w:type="dxa"/>
            <w:shd w:val="clear" w:color="auto" w:fill="FFFFFF"/>
            <w:vAlign w:val="center"/>
          </w:tcPr>
          <w:p w14:paraId="0F84BD4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22</w:t>
            </w:r>
          </w:p>
        </w:tc>
        <w:tc>
          <w:tcPr>
            <w:tcW w:w="448" w:type="dxa"/>
            <w:shd w:val="clear" w:color="auto" w:fill="FFFFFF"/>
            <w:vAlign w:val="center"/>
          </w:tcPr>
          <w:p w14:paraId="380F757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32B1C54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87884</w:t>
            </w:r>
          </w:p>
        </w:tc>
        <w:tc>
          <w:tcPr>
            <w:tcW w:w="6839" w:type="dxa"/>
            <w:shd w:val="clear" w:color="auto" w:fill="FFFFFF"/>
            <w:vAlign w:val="center"/>
          </w:tcPr>
          <w:p w14:paraId="2D98F369">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Chocolate Granulado: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granulado, de cor marrom escuro, com sabor e aroma característicos de chocolate; adequado para uso em preparações culinárias, como coberturas de bolos, doces, sorvetes e confeitaria em geral; validade mínima de 80% do prazo inicial ainda válido, contado a partir da data de entrega; produto deve atender às normas da ANVISA e legislações vigentes.</w:t>
            </w:r>
          </w:p>
        </w:tc>
        <w:tc>
          <w:tcPr>
            <w:tcW w:w="1254" w:type="dxa"/>
            <w:shd w:val="clear" w:color="auto" w:fill="FFFFFF"/>
            <w:vAlign w:val="center"/>
          </w:tcPr>
          <w:p w14:paraId="3744A71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0AC9DD7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FFFFF"/>
            <w:vAlign w:val="center"/>
          </w:tcPr>
          <w:p w14:paraId="2AAEEC4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440</w:t>
            </w:r>
          </w:p>
        </w:tc>
        <w:tc>
          <w:tcPr>
            <w:tcW w:w="1074" w:type="dxa"/>
            <w:shd w:val="clear" w:color="auto" w:fill="FFFFFF"/>
            <w:vAlign w:val="center"/>
          </w:tcPr>
          <w:p w14:paraId="007B146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05D84A0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5F25C8F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06BCBFA">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46" w:hRule="atLeast"/>
        </w:trPr>
        <w:tc>
          <w:tcPr>
            <w:tcW w:w="480" w:type="dxa"/>
            <w:shd w:val="clear" w:color="auto" w:fill="FBE4E8"/>
            <w:vAlign w:val="center"/>
          </w:tcPr>
          <w:p w14:paraId="74CA7DC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23</w:t>
            </w:r>
          </w:p>
        </w:tc>
        <w:tc>
          <w:tcPr>
            <w:tcW w:w="448" w:type="dxa"/>
            <w:shd w:val="clear" w:color="auto" w:fill="FBE4E8"/>
            <w:vAlign w:val="center"/>
          </w:tcPr>
          <w:p w14:paraId="3D8E0C2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35564C3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87885</w:t>
            </w:r>
          </w:p>
        </w:tc>
        <w:tc>
          <w:tcPr>
            <w:tcW w:w="6839" w:type="dxa"/>
            <w:shd w:val="clear" w:color="auto" w:fill="FBE4E8"/>
            <w:vAlign w:val="center"/>
          </w:tcPr>
          <w:p w14:paraId="2C912BB5">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Coco Ralado: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pequenas partículas finas de cor branca, com sabor e aroma característicos de coco fresco; adequado para uso em preparações culinárias, como recheios de bolos, doces, tortas, biscoitos e confeitaria em geral; validade mínima de 80% do prazo inicial ainda válido, contado a partir da data de entrega; produto deve atender às normas da ANVISA e legislações vigentes.</w:t>
            </w:r>
          </w:p>
        </w:tc>
        <w:tc>
          <w:tcPr>
            <w:tcW w:w="1254" w:type="dxa"/>
            <w:shd w:val="clear" w:color="auto" w:fill="FBE4E8"/>
            <w:vAlign w:val="center"/>
          </w:tcPr>
          <w:p w14:paraId="3743C45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5315C8B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100 g</w:t>
            </w:r>
          </w:p>
        </w:tc>
        <w:tc>
          <w:tcPr>
            <w:tcW w:w="744" w:type="dxa"/>
            <w:shd w:val="clear" w:color="auto" w:fill="FBE4E8"/>
            <w:vAlign w:val="center"/>
          </w:tcPr>
          <w:p w14:paraId="50D1601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450</w:t>
            </w:r>
          </w:p>
        </w:tc>
        <w:tc>
          <w:tcPr>
            <w:tcW w:w="1074" w:type="dxa"/>
            <w:shd w:val="clear" w:color="auto" w:fill="FBE4E8"/>
            <w:vAlign w:val="center"/>
          </w:tcPr>
          <w:p w14:paraId="0462BA4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75A55C5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422015D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238267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565" w:hRule="atLeast"/>
        </w:trPr>
        <w:tc>
          <w:tcPr>
            <w:tcW w:w="480" w:type="dxa"/>
            <w:shd w:val="clear" w:color="auto" w:fill="FFFFFF"/>
            <w:vAlign w:val="center"/>
          </w:tcPr>
          <w:p w14:paraId="3C00C02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24</w:t>
            </w:r>
          </w:p>
        </w:tc>
        <w:tc>
          <w:tcPr>
            <w:tcW w:w="448" w:type="dxa"/>
            <w:shd w:val="clear" w:color="auto" w:fill="FFFFFF"/>
            <w:vAlign w:val="center"/>
          </w:tcPr>
          <w:p w14:paraId="29BAA35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58BF42B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87886</w:t>
            </w:r>
          </w:p>
        </w:tc>
        <w:tc>
          <w:tcPr>
            <w:tcW w:w="6839" w:type="dxa"/>
            <w:shd w:val="clear" w:color="auto" w:fill="FFFFFF"/>
            <w:vAlign w:val="center"/>
          </w:tcPr>
          <w:p w14:paraId="19465D90">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Bebida Láctea: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líquido, de coloração variada conforme o sabor, com sabor e aroma característicos do leite e dos ingredientes adicionais, caso haja; adequada para consumo direto ou em preparações culinárias; validade mínima de 80% do prazo inicial ainda válido, contado a partir da data de entrega; produto deve atender às normas da ANVISA e legislações vigentes.</w:t>
            </w:r>
          </w:p>
        </w:tc>
        <w:tc>
          <w:tcPr>
            <w:tcW w:w="1254" w:type="dxa"/>
            <w:shd w:val="clear" w:color="auto" w:fill="FFFFFF"/>
            <w:vAlign w:val="center"/>
          </w:tcPr>
          <w:p w14:paraId="4CFFC05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6BAC043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mL</w:t>
            </w:r>
          </w:p>
        </w:tc>
        <w:tc>
          <w:tcPr>
            <w:tcW w:w="744" w:type="dxa"/>
            <w:shd w:val="clear" w:color="auto" w:fill="FFFFFF"/>
            <w:vAlign w:val="center"/>
          </w:tcPr>
          <w:p w14:paraId="361A2CD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1000</w:t>
            </w:r>
          </w:p>
        </w:tc>
        <w:tc>
          <w:tcPr>
            <w:tcW w:w="1074" w:type="dxa"/>
            <w:shd w:val="clear" w:color="auto" w:fill="FFFFFF"/>
            <w:vAlign w:val="center"/>
          </w:tcPr>
          <w:p w14:paraId="2312A32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3C94BC6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4A7EC16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55709E2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229" w:hRule="atLeast"/>
        </w:trPr>
        <w:tc>
          <w:tcPr>
            <w:tcW w:w="480" w:type="dxa"/>
            <w:shd w:val="clear" w:color="auto" w:fill="FBE4E8"/>
            <w:vAlign w:val="center"/>
          </w:tcPr>
          <w:p w14:paraId="0EF86DA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25</w:t>
            </w:r>
          </w:p>
        </w:tc>
        <w:tc>
          <w:tcPr>
            <w:tcW w:w="448" w:type="dxa"/>
            <w:shd w:val="clear" w:color="auto" w:fill="FBE4E8"/>
            <w:vAlign w:val="center"/>
          </w:tcPr>
          <w:p w14:paraId="397D997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5174AE8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87887</w:t>
            </w:r>
          </w:p>
        </w:tc>
        <w:tc>
          <w:tcPr>
            <w:tcW w:w="6839" w:type="dxa"/>
            <w:shd w:val="clear" w:color="auto" w:fill="FBE4E8"/>
            <w:vAlign w:val="center"/>
          </w:tcPr>
          <w:p w14:paraId="4E62FE88">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Milho de Pipoca: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grãos secos, de cor amarela, com formato e tamanho típicos do milho de pipoca; sabor e aroma característicos de milho, adequado para ser estourado em máquinas de pipoca ou em panelas; validade mínima de 80% do prazo inicial ainda válido, contado a partir da data de entrega; produto deve atender às normas da ANVISA e legislações vigentes.</w:t>
            </w:r>
          </w:p>
        </w:tc>
        <w:tc>
          <w:tcPr>
            <w:tcW w:w="1254" w:type="dxa"/>
            <w:shd w:val="clear" w:color="auto" w:fill="FBE4E8"/>
            <w:vAlign w:val="center"/>
          </w:tcPr>
          <w:p w14:paraId="78B55CF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2264810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52ACD6A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900</w:t>
            </w:r>
          </w:p>
        </w:tc>
        <w:tc>
          <w:tcPr>
            <w:tcW w:w="1074" w:type="dxa"/>
            <w:shd w:val="clear" w:color="auto" w:fill="FBE4E8"/>
            <w:vAlign w:val="center"/>
          </w:tcPr>
          <w:p w14:paraId="28697D9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8AA20F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47671BA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C118C6B">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451" w:hRule="atLeast"/>
        </w:trPr>
        <w:tc>
          <w:tcPr>
            <w:tcW w:w="480" w:type="dxa"/>
            <w:vMerge w:val="restart"/>
            <w:shd w:val="clear" w:color="auto" w:fill="FFFFFF"/>
            <w:vAlign w:val="center"/>
          </w:tcPr>
          <w:p w14:paraId="67608B2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26</w:t>
            </w:r>
          </w:p>
        </w:tc>
        <w:tc>
          <w:tcPr>
            <w:tcW w:w="448" w:type="dxa"/>
            <w:shd w:val="clear" w:color="auto" w:fill="FFFFFF"/>
            <w:vAlign w:val="center"/>
          </w:tcPr>
          <w:p w14:paraId="41D36AD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0A70A2F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87888</w:t>
            </w:r>
          </w:p>
        </w:tc>
        <w:tc>
          <w:tcPr>
            <w:tcW w:w="6839" w:type="dxa"/>
            <w:shd w:val="clear" w:color="auto" w:fill="FFFFFF"/>
            <w:vAlign w:val="center"/>
          </w:tcPr>
          <w:p w14:paraId="5957F1D9">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Óleo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límpido e de cor amarela, com sabor e aroma suaves, típicos do óleo de milho; adequado para uso culinário, sendo ideal para frituras, refogados, e outras preparações gastronômicas; validade mínima de 80% do prazo inicial ainda válido, contado a partir da data de entrega; produto deve atender às normas da ANVISA e legislações vigentes.</w:t>
            </w:r>
          </w:p>
        </w:tc>
        <w:tc>
          <w:tcPr>
            <w:tcW w:w="1254" w:type="dxa"/>
            <w:shd w:val="clear" w:color="auto" w:fill="FFFFFF"/>
            <w:vAlign w:val="center"/>
          </w:tcPr>
          <w:p w14:paraId="04E7F77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20F2522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900 mL</w:t>
            </w:r>
          </w:p>
        </w:tc>
        <w:tc>
          <w:tcPr>
            <w:tcW w:w="744" w:type="dxa"/>
            <w:shd w:val="clear" w:color="auto" w:fill="FFFFFF"/>
            <w:vAlign w:val="center"/>
          </w:tcPr>
          <w:p w14:paraId="044EE3B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50</w:t>
            </w:r>
          </w:p>
        </w:tc>
        <w:tc>
          <w:tcPr>
            <w:tcW w:w="1074" w:type="dxa"/>
            <w:shd w:val="clear" w:color="auto" w:fill="FFFFFF"/>
            <w:vAlign w:val="center"/>
          </w:tcPr>
          <w:p w14:paraId="167C9CA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2CC9B14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FFFFF"/>
            <w:vAlign w:val="center"/>
          </w:tcPr>
          <w:p w14:paraId="5B18373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2D3F21A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40" w:hRule="atLeast"/>
        </w:trPr>
        <w:tc>
          <w:tcPr>
            <w:tcW w:w="480" w:type="dxa"/>
            <w:vMerge w:val="continue"/>
            <w:shd w:val="clear" w:color="auto" w:fill="FFFFFF"/>
            <w:vAlign w:val="center"/>
          </w:tcPr>
          <w:p w14:paraId="50CBC7B2">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6B50A61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FFFFF"/>
            <w:vAlign w:val="center"/>
          </w:tcPr>
          <w:p w14:paraId="0AF5164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87889</w:t>
            </w:r>
          </w:p>
        </w:tc>
        <w:tc>
          <w:tcPr>
            <w:tcW w:w="6839" w:type="dxa"/>
            <w:shd w:val="clear" w:color="auto" w:fill="FFFFFF"/>
            <w:vAlign w:val="center"/>
          </w:tcPr>
          <w:p w14:paraId="1EDEA9B9">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Óleo de Soja: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límpido e de cor amarela pálida, com sabor e aroma suaves, típicos do óleo de soja; adequado para uso culinário, especialmente em frituras, refogados, saladas e outras preparações alimentícias; validade mínima de 80% do prazo inicial ainda válido, contado a partir da data de entrega; produto deve atender às normas da ANVISA e legislações vigentes.</w:t>
            </w:r>
          </w:p>
        </w:tc>
        <w:tc>
          <w:tcPr>
            <w:tcW w:w="1254" w:type="dxa"/>
            <w:shd w:val="clear" w:color="auto" w:fill="FFFFFF"/>
            <w:vAlign w:val="center"/>
          </w:tcPr>
          <w:p w14:paraId="7C785C7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77C3CBB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900 mL</w:t>
            </w:r>
          </w:p>
        </w:tc>
        <w:tc>
          <w:tcPr>
            <w:tcW w:w="744" w:type="dxa"/>
            <w:shd w:val="clear" w:color="auto" w:fill="FFFFFF"/>
            <w:vAlign w:val="center"/>
          </w:tcPr>
          <w:p w14:paraId="2783A6A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1030</w:t>
            </w:r>
          </w:p>
        </w:tc>
        <w:tc>
          <w:tcPr>
            <w:tcW w:w="1074" w:type="dxa"/>
            <w:shd w:val="clear" w:color="auto" w:fill="FFFFFF"/>
            <w:vAlign w:val="center"/>
          </w:tcPr>
          <w:p w14:paraId="79F29D3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3E20D4E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FFFFF"/>
            <w:vAlign w:val="center"/>
          </w:tcPr>
          <w:p w14:paraId="75C52CE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0E62AA4">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1560" w:hRule="atLeast"/>
        </w:trPr>
        <w:tc>
          <w:tcPr>
            <w:tcW w:w="480" w:type="dxa"/>
            <w:shd w:val="clear" w:color="auto" w:fill="FBE4E8"/>
            <w:vAlign w:val="center"/>
          </w:tcPr>
          <w:p w14:paraId="5FFC8724">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27</w:t>
            </w:r>
          </w:p>
        </w:tc>
        <w:tc>
          <w:tcPr>
            <w:tcW w:w="448" w:type="dxa"/>
            <w:shd w:val="clear" w:color="auto" w:fill="FBE4E8"/>
            <w:vAlign w:val="center"/>
          </w:tcPr>
          <w:p w14:paraId="11EA41C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222B447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87890</w:t>
            </w:r>
          </w:p>
        </w:tc>
        <w:tc>
          <w:tcPr>
            <w:tcW w:w="6839" w:type="dxa"/>
            <w:shd w:val="clear" w:color="auto" w:fill="FBE4E8"/>
            <w:vAlign w:val="center"/>
          </w:tcPr>
          <w:p w14:paraId="6693D9F0">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Palito de Fósforo: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pequenos palitos cilíndricos, geralmente de madeira, com cabeça contendo fósforo para ignição, de cor variada conforme a marca e tipo de palito; utilizado para acender fogo, em atividades domésticas ou outras necessidades específicas; validade mínima de 80% do prazo inicial ainda válido, contado a partir da data de entrega; produto deve atender às normas de segurança e legislações vigentes.</w:t>
            </w:r>
          </w:p>
        </w:tc>
        <w:tc>
          <w:tcPr>
            <w:tcW w:w="1254" w:type="dxa"/>
            <w:shd w:val="clear" w:color="auto" w:fill="FBE4E8"/>
            <w:vAlign w:val="center"/>
          </w:tcPr>
          <w:p w14:paraId="7FEF099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2002706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Pacote primário com 10 caixas, cada caixa contendo 40 palitos</w:t>
            </w:r>
          </w:p>
        </w:tc>
        <w:tc>
          <w:tcPr>
            <w:tcW w:w="744" w:type="dxa"/>
            <w:shd w:val="clear" w:color="auto" w:fill="FBE4E8"/>
            <w:vAlign w:val="center"/>
          </w:tcPr>
          <w:p w14:paraId="338A22E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260</w:t>
            </w:r>
          </w:p>
        </w:tc>
        <w:tc>
          <w:tcPr>
            <w:tcW w:w="1074" w:type="dxa"/>
            <w:shd w:val="clear" w:color="auto" w:fill="FBE4E8"/>
            <w:vAlign w:val="center"/>
          </w:tcPr>
          <w:p w14:paraId="21AAC8F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44949BA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0AE5ABB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09830583">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10" w:hRule="atLeast"/>
        </w:trPr>
        <w:tc>
          <w:tcPr>
            <w:tcW w:w="480" w:type="dxa"/>
            <w:shd w:val="clear" w:color="auto" w:fill="FFFFFF"/>
            <w:vAlign w:val="center"/>
          </w:tcPr>
          <w:p w14:paraId="47D8E8DB">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28</w:t>
            </w:r>
          </w:p>
        </w:tc>
        <w:tc>
          <w:tcPr>
            <w:tcW w:w="448" w:type="dxa"/>
            <w:shd w:val="clear" w:color="auto" w:fill="FFFFFF"/>
            <w:vAlign w:val="center"/>
          </w:tcPr>
          <w:p w14:paraId="2CD5D70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3D796E5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87891</w:t>
            </w:r>
          </w:p>
        </w:tc>
        <w:tc>
          <w:tcPr>
            <w:tcW w:w="6839" w:type="dxa"/>
            <w:shd w:val="clear" w:color="auto" w:fill="FFFFFF"/>
            <w:vAlign w:val="center"/>
          </w:tcPr>
          <w:p w14:paraId="25ED206A">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Sal:</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cristalino ou granulado, de cor branca ou levemente opaca, com sabor característico salgado; adequado para uso culinário em preparações alimentícias, como tempero, conservação de alimentos ou em processos industriais; validade mínima de 80% do prazo inicial ainda válido, contado a partir da data de entrega; produto deve atender às normas da ANVISA e legislações vigentes.</w:t>
            </w:r>
          </w:p>
        </w:tc>
        <w:tc>
          <w:tcPr>
            <w:tcW w:w="1254" w:type="dxa"/>
            <w:shd w:val="clear" w:color="auto" w:fill="FFFFFF"/>
            <w:vAlign w:val="center"/>
          </w:tcPr>
          <w:p w14:paraId="62C2A26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44E4695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kg</w:t>
            </w:r>
          </w:p>
        </w:tc>
        <w:tc>
          <w:tcPr>
            <w:tcW w:w="744" w:type="dxa"/>
            <w:shd w:val="clear" w:color="auto" w:fill="FFFFFF"/>
            <w:vAlign w:val="center"/>
          </w:tcPr>
          <w:p w14:paraId="58C139A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510</w:t>
            </w:r>
          </w:p>
        </w:tc>
        <w:tc>
          <w:tcPr>
            <w:tcW w:w="1074" w:type="dxa"/>
            <w:shd w:val="clear" w:color="auto" w:fill="FFFFFF"/>
            <w:vAlign w:val="center"/>
          </w:tcPr>
          <w:p w14:paraId="75C76C0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6E06E8A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1882D34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0DFC04A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17" w:hRule="atLeast"/>
        </w:trPr>
        <w:tc>
          <w:tcPr>
            <w:tcW w:w="480" w:type="dxa"/>
            <w:shd w:val="clear" w:color="auto" w:fill="FBE4E8"/>
            <w:vAlign w:val="center"/>
          </w:tcPr>
          <w:p w14:paraId="2A30078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29</w:t>
            </w:r>
          </w:p>
        </w:tc>
        <w:tc>
          <w:tcPr>
            <w:tcW w:w="448" w:type="dxa"/>
            <w:shd w:val="clear" w:color="auto" w:fill="FBE4E8"/>
            <w:vAlign w:val="center"/>
          </w:tcPr>
          <w:p w14:paraId="40F0DC1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43354A8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87892</w:t>
            </w:r>
          </w:p>
        </w:tc>
        <w:tc>
          <w:tcPr>
            <w:tcW w:w="6839" w:type="dxa"/>
            <w:shd w:val="clear" w:color="auto" w:fill="FBE4E8"/>
            <w:vAlign w:val="center"/>
          </w:tcPr>
          <w:p w14:paraId="6E9A946A">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Vinagre: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líquido, de coloração variada (geralmente transparente, branca, ou ambar), com sabor ácido e aroma característico do tipo de vinagre; adequado para uso culinário em temperos, conservas, marinadas, molhos e outras preparações alimentícias; validade mínima de 80% do prazo inicial ainda válido, contado a partir da data de entrega; produto deve atender às normas da ANVISA e legislações vigentes.</w:t>
            </w:r>
          </w:p>
        </w:tc>
        <w:tc>
          <w:tcPr>
            <w:tcW w:w="1254" w:type="dxa"/>
            <w:shd w:val="clear" w:color="auto" w:fill="FBE4E8"/>
            <w:vAlign w:val="center"/>
          </w:tcPr>
          <w:p w14:paraId="19C212E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79A1EF5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750 mL</w:t>
            </w:r>
          </w:p>
        </w:tc>
        <w:tc>
          <w:tcPr>
            <w:tcW w:w="744" w:type="dxa"/>
            <w:shd w:val="clear" w:color="auto" w:fill="FBE4E8"/>
            <w:vAlign w:val="center"/>
          </w:tcPr>
          <w:p w14:paraId="0D8FA92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4E3976B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6B3F6F5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78C2F5F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80E3FD9">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99" w:hRule="atLeast"/>
        </w:trPr>
        <w:tc>
          <w:tcPr>
            <w:tcW w:w="480" w:type="dxa"/>
            <w:shd w:val="clear" w:color="auto" w:fill="FFFFFF"/>
            <w:vAlign w:val="center"/>
          </w:tcPr>
          <w:p w14:paraId="7D51916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30</w:t>
            </w:r>
          </w:p>
        </w:tc>
        <w:tc>
          <w:tcPr>
            <w:tcW w:w="448" w:type="dxa"/>
            <w:shd w:val="clear" w:color="auto" w:fill="FFFFFF"/>
            <w:vAlign w:val="center"/>
          </w:tcPr>
          <w:p w14:paraId="51EE7B1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3316A6A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87893</w:t>
            </w:r>
          </w:p>
        </w:tc>
        <w:tc>
          <w:tcPr>
            <w:tcW w:w="6839" w:type="dxa"/>
            <w:shd w:val="clear" w:color="auto" w:fill="FFFFFF"/>
            <w:vAlign w:val="center"/>
          </w:tcPr>
          <w:p w14:paraId="448B13CB">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Caldo de Carne: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em cubos, com cor e sabor intensos e característicos de carne ou galinha, podendo conter temperos e especiarias adicionais; utilizado para dar sabor a sopas, molhos, risotos, ensopados e outras preparações culinárias; validade mínima de 80% do prazo inicial ainda válido, contado a partir da data de entrega; produto deve atender às normas da ANVISA e legislações vigentes.</w:t>
            </w:r>
          </w:p>
        </w:tc>
        <w:tc>
          <w:tcPr>
            <w:tcW w:w="1254" w:type="dxa"/>
            <w:shd w:val="clear" w:color="auto" w:fill="FFFFFF"/>
            <w:vAlign w:val="center"/>
          </w:tcPr>
          <w:p w14:paraId="23F6A00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0DE02B5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Caixa com 57 g, contendo no mínimo 6 tabletes</w:t>
            </w:r>
          </w:p>
        </w:tc>
        <w:tc>
          <w:tcPr>
            <w:tcW w:w="744" w:type="dxa"/>
            <w:shd w:val="clear" w:color="auto" w:fill="FFFFFF"/>
            <w:vAlign w:val="center"/>
          </w:tcPr>
          <w:p w14:paraId="6E4105A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1000</w:t>
            </w:r>
          </w:p>
        </w:tc>
        <w:tc>
          <w:tcPr>
            <w:tcW w:w="1074" w:type="dxa"/>
            <w:shd w:val="clear" w:color="auto" w:fill="FFFFFF"/>
            <w:vAlign w:val="center"/>
          </w:tcPr>
          <w:p w14:paraId="1169193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30032EA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1286C33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BC6384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46" w:hRule="atLeast"/>
        </w:trPr>
        <w:tc>
          <w:tcPr>
            <w:tcW w:w="480" w:type="dxa"/>
            <w:vMerge w:val="restart"/>
            <w:shd w:val="clear" w:color="auto" w:fill="FBE4E8"/>
            <w:vAlign w:val="center"/>
          </w:tcPr>
          <w:p w14:paraId="69A3BB2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31</w:t>
            </w:r>
          </w:p>
        </w:tc>
        <w:tc>
          <w:tcPr>
            <w:tcW w:w="448" w:type="dxa"/>
            <w:shd w:val="clear" w:color="auto" w:fill="FBE4E8"/>
            <w:vAlign w:val="center"/>
          </w:tcPr>
          <w:p w14:paraId="3932081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0299EC8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87894</w:t>
            </w:r>
          </w:p>
        </w:tc>
        <w:tc>
          <w:tcPr>
            <w:tcW w:w="6839" w:type="dxa"/>
            <w:shd w:val="clear" w:color="auto" w:fill="FBE4E8"/>
            <w:vAlign w:val="center"/>
          </w:tcPr>
          <w:p w14:paraId="3A36F31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Canela em Pó:</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pó fino, de cor marrom-clara a marrom-escuro, com sabor e aroma característicos de canela, levemente doce e picante; utilizada como tempero em preparações culinárias, como bolos, doces, bebidas, sobremesas, entre outros; validade mínima de 80% do prazo inicial ainda válido, contado a partir da data de entrega; produto deve atender às normas da ANVISA e legislações vigentes.</w:t>
            </w:r>
          </w:p>
        </w:tc>
        <w:tc>
          <w:tcPr>
            <w:tcW w:w="1254" w:type="dxa"/>
            <w:shd w:val="clear" w:color="auto" w:fill="FBE4E8"/>
            <w:vAlign w:val="center"/>
          </w:tcPr>
          <w:p w14:paraId="0993D40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7FB7A9C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30 g</w:t>
            </w:r>
          </w:p>
        </w:tc>
        <w:tc>
          <w:tcPr>
            <w:tcW w:w="744" w:type="dxa"/>
            <w:shd w:val="clear" w:color="auto" w:fill="FBE4E8"/>
            <w:vAlign w:val="center"/>
          </w:tcPr>
          <w:p w14:paraId="67E631A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260</w:t>
            </w:r>
          </w:p>
        </w:tc>
        <w:tc>
          <w:tcPr>
            <w:tcW w:w="1074" w:type="dxa"/>
            <w:shd w:val="clear" w:color="auto" w:fill="FBE4E8"/>
            <w:vAlign w:val="center"/>
          </w:tcPr>
          <w:p w14:paraId="3A45A75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64859BF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BE4E8"/>
            <w:vAlign w:val="center"/>
          </w:tcPr>
          <w:p w14:paraId="54C4013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6DCB72B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552" w:hRule="atLeast"/>
        </w:trPr>
        <w:tc>
          <w:tcPr>
            <w:tcW w:w="480" w:type="dxa"/>
            <w:vMerge w:val="continue"/>
            <w:shd w:val="clear" w:color="auto" w:fill="E1E9FE"/>
            <w:vAlign w:val="center"/>
          </w:tcPr>
          <w:p w14:paraId="62E8F93C">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5B69CE9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3474070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87895</w:t>
            </w:r>
          </w:p>
        </w:tc>
        <w:tc>
          <w:tcPr>
            <w:tcW w:w="6839" w:type="dxa"/>
            <w:shd w:val="clear" w:color="auto" w:fill="FBE4E8"/>
            <w:vAlign w:val="center"/>
          </w:tcPr>
          <w:p w14:paraId="6946300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Colorífico (Colorau):</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em pó, de cor vermelha a laranja intensa, com sabor suave e aroma típico de especiarias; utilizado como corante natural em preparações culinárias; validade mínima de 80% do prazo inicial ainda válido, contado a partir da data de entrega; produto deve atender às normas da ANVISA e legislações vigentes.</w:t>
            </w:r>
          </w:p>
        </w:tc>
        <w:tc>
          <w:tcPr>
            <w:tcW w:w="1254" w:type="dxa"/>
            <w:shd w:val="clear" w:color="auto" w:fill="FBE4E8"/>
            <w:vAlign w:val="center"/>
          </w:tcPr>
          <w:p w14:paraId="6D63740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49F9E9D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kg</w:t>
            </w:r>
          </w:p>
        </w:tc>
        <w:tc>
          <w:tcPr>
            <w:tcW w:w="744" w:type="dxa"/>
            <w:shd w:val="clear" w:color="auto" w:fill="FBE4E8"/>
            <w:vAlign w:val="center"/>
          </w:tcPr>
          <w:p w14:paraId="51DACA5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w:t>
            </w:r>
          </w:p>
        </w:tc>
        <w:tc>
          <w:tcPr>
            <w:tcW w:w="1074" w:type="dxa"/>
            <w:shd w:val="clear" w:color="auto" w:fill="FBE4E8"/>
            <w:vAlign w:val="center"/>
          </w:tcPr>
          <w:p w14:paraId="4461E51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0D49958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E1E9FE"/>
            <w:vAlign w:val="center"/>
          </w:tcPr>
          <w:p w14:paraId="7900D25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212252BA">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10" w:hRule="atLeast"/>
        </w:trPr>
        <w:tc>
          <w:tcPr>
            <w:tcW w:w="480" w:type="dxa"/>
            <w:vMerge w:val="continue"/>
            <w:shd w:val="clear" w:color="auto" w:fill="FFFFFF"/>
            <w:vAlign w:val="center"/>
          </w:tcPr>
          <w:p w14:paraId="003BB55F">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5AB56E5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61106A9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87896</w:t>
            </w:r>
          </w:p>
        </w:tc>
        <w:tc>
          <w:tcPr>
            <w:tcW w:w="6839" w:type="dxa"/>
            <w:shd w:val="clear" w:color="auto" w:fill="FBE4E8"/>
            <w:vAlign w:val="center"/>
          </w:tcPr>
          <w:p w14:paraId="561B56C1">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Açafrão: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em pó, de cor amarela intensa, com sabor levemente amargo e aroma característico e pungente; utilizado como tempero em preparações culinárias, como risotos, sopas, molhos e pratos tradicionais; validade mínima de 80% do prazo inicial ainda válido, contado a partir da data de entrega; produto deve atender às normas da ANVISA e legislações vigentes.</w:t>
            </w:r>
          </w:p>
        </w:tc>
        <w:tc>
          <w:tcPr>
            <w:tcW w:w="1254" w:type="dxa"/>
            <w:shd w:val="clear" w:color="auto" w:fill="FBE4E8"/>
            <w:vAlign w:val="center"/>
          </w:tcPr>
          <w:p w14:paraId="1F4DC23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23C0F44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1F351B4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63C398F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410E9FC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E1E9FE"/>
            <w:vAlign w:val="center"/>
          </w:tcPr>
          <w:p w14:paraId="23C245F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2044903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748" w:hRule="atLeast"/>
        </w:trPr>
        <w:tc>
          <w:tcPr>
            <w:tcW w:w="480" w:type="dxa"/>
            <w:vMerge w:val="continue"/>
            <w:shd w:val="clear" w:color="auto" w:fill="FFFFFF"/>
            <w:vAlign w:val="center"/>
          </w:tcPr>
          <w:p w14:paraId="03080179">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1322BE8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4</w:t>
            </w:r>
          </w:p>
        </w:tc>
        <w:tc>
          <w:tcPr>
            <w:tcW w:w="792" w:type="dxa"/>
            <w:shd w:val="clear" w:color="auto" w:fill="FBE4E8"/>
            <w:vAlign w:val="center"/>
          </w:tcPr>
          <w:p w14:paraId="339515E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87897</w:t>
            </w:r>
          </w:p>
        </w:tc>
        <w:tc>
          <w:tcPr>
            <w:tcW w:w="6839" w:type="dxa"/>
            <w:shd w:val="clear" w:color="auto" w:fill="FBE4E8"/>
            <w:vAlign w:val="center"/>
          </w:tcPr>
          <w:p w14:paraId="1D60F89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Pimenta do Reino: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em pó, com sabor picante e aroma característico de especiaria; utilizada como tempero em diversas preparações culinárias; validade mínima de 80% do prazo inicial ainda válido, contado a partir da data de entrega; produto deve atender às normas da ANVISA e legislações vigentes.</w:t>
            </w:r>
          </w:p>
        </w:tc>
        <w:tc>
          <w:tcPr>
            <w:tcW w:w="1254" w:type="dxa"/>
            <w:shd w:val="clear" w:color="auto" w:fill="FBE4E8"/>
            <w:vAlign w:val="center"/>
          </w:tcPr>
          <w:p w14:paraId="2D4A015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09031B5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 g</w:t>
            </w:r>
          </w:p>
        </w:tc>
        <w:tc>
          <w:tcPr>
            <w:tcW w:w="744" w:type="dxa"/>
            <w:shd w:val="clear" w:color="auto" w:fill="FBE4E8"/>
            <w:vAlign w:val="center"/>
          </w:tcPr>
          <w:p w14:paraId="7CF87E7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7D6BCDF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076D634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E1E9FE"/>
            <w:vAlign w:val="center"/>
          </w:tcPr>
          <w:p w14:paraId="45D25AD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7CDCBA6">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651" w:hRule="atLeast"/>
        </w:trPr>
        <w:tc>
          <w:tcPr>
            <w:tcW w:w="480" w:type="dxa"/>
            <w:vMerge w:val="continue"/>
            <w:shd w:val="clear" w:color="auto" w:fill="FFFFFF"/>
            <w:vAlign w:val="center"/>
          </w:tcPr>
          <w:p w14:paraId="71CEE6DC">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6C3AEC0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5</w:t>
            </w:r>
          </w:p>
        </w:tc>
        <w:tc>
          <w:tcPr>
            <w:tcW w:w="792" w:type="dxa"/>
            <w:shd w:val="clear" w:color="auto" w:fill="FBE4E8"/>
            <w:vAlign w:val="center"/>
          </w:tcPr>
          <w:p w14:paraId="121215E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87898</w:t>
            </w:r>
          </w:p>
        </w:tc>
        <w:tc>
          <w:tcPr>
            <w:tcW w:w="6839" w:type="dxa"/>
            <w:shd w:val="clear" w:color="auto" w:fill="FBE4E8"/>
            <w:vAlign w:val="center"/>
          </w:tcPr>
          <w:p w14:paraId="11171695">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Páprica: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em pó, de cor vermelha a laranja, com sabor suave a picante e aroma característico, levemente adocicado e defumado; utilizada como tempero em preparações culinárias, como carnes, molhos, sopas, vegetais, entre outros; validade mínima de 80% do prazo inicial ainda válido, contado a partir da data de entrega; produto deve atender às normas da ANVISA e legislações vigentes.</w:t>
            </w:r>
          </w:p>
        </w:tc>
        <w:tc>
          <w:tcPr>
            <w:tcW w:w="1254" w:type="dxa"/>
            <w:shd w:val="clear" w:color="auto" w:fill="FBE4E8"/>
            <w:vAlign w:val="center"/>
          </w:tcPr>
          <w:p w14:paraId="2F8F45C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0DB261C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 g</w:t>
            </w:r>
          </w:p>
        </w:tc>
        <w:tc>
          <w:tcPr>
            <w:tcW w:w="744" w:type="dxa"/>
            <w:shd w:val="clear" w:color="auto" w:fill="FBE4E8"/>
            <w:vAlign w:val="center"/>
          </w:tcPr>
          <w:p w14:paraId="6A7DBF7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5E8DD19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496995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E1E9FE"/>
            <w:vAlign w:val="center"/>
          </w:tcPr>
          <w:p w14:paraId="1D46084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E025AC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823" w:hRule="atLeast"/>
        </w:trPr>
        <w:tc>
          <w:tcPr>
            <w:tcW w:w="480" w:type="dxa"/>
            <w:shd w:val="clear" w:color="auto" w:fill="FFFFFF"/>
            <w:vAlign w:val="center"/>
          </w:tcPr>
          <w:p w14:paraId="2BE832AB">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32</w:t>
            </w:r>
          </w:p>
        </w:tc>
        <w:tc>
          <w:tcPr>
            <w:tcW w:w="448" w:type="dxa"/>
            <w:shd w:val="clear" w:color="auto" w:fill="FFFFFF"/>
            <w:vAlign w:val="center"/>
          </w:tcPr>
          <w:p w14:paraId="6CB2FEE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42DF25F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87899</w:t>
            </w:r>
          </w:p>
        </w:tc>
        <w:tc>
          <w:tcPr>
            <w:tcW w:w="6839" w:type="dxa"/>
            <w:shd w:val="clear" w:color="auto" w:fill="FFFFFF"/>
            <w:vAlign w:val="center"/>
          </w:tcPr>
          <w:p w14:paraId="2764D542">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Batata Palha: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tiras finas e crocantes, de cor dourada a levemente amarelada, com sabor e aroma característicos de batata frita; utilizada como acompanhamento, decoração ou ingrediente em pratos como saladas, sanduíches, tortas, e outros preparos culinários; validade mínima de 80% do prazo inicial ainda válido, contado a partir da data de entrega; produto deve atender às normas da ANVISA e legislações vigentes.</w:t>
            </w:r>
          </w:p>
        </w:tc>
        <w:tc>
          <w:tcPr>
            <w:tcW w:w="1254" w:type="dxa"/>
            <w:shd w:val="clear" w:color="auto" w:fill="FFFFFF"/>
            <w:vAlign w:val="center"/>
          </w:tcPr>
          <w:p w14:paraId="43BB0DB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78B352A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400 g</w:t>
            </w:r>
          </w:p>
        </w:tc>
        <w:tc>
          <w:tcPr>
            <w:tcW w:w="744" w:type="dxa"/>
            <w:shd w:val="clear" w:color="auto" w:fill="FFFFFF"/>
            <w:vAlign w:val="center"/>
          </w:tcPr>
          <w:p w14:paraId="236445D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875</w:t>
            </w:r>
          </w:p>
        </w:tc>
        <w:tc>
          <w:tcPr>
            <w:tcW w:w="1074" w:type="dxa"/>
            <w:shd w:val="clear" w:color="auto" w:fill="FFFFFF"/>
            <w:vAlign w:val="center"/>
          </w:tcPr>
          <w:p w14:paraId="5AD2E84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5F355F0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11C5991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8EB0B91">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54" w:hRule="atLeast"/>
        </w:trPr>
        <w:tc>
          <w:tcPr>
            <w:tcW w:w="480" w:type="dxa"/>
            <w:shd w:val="clear" w:color="auto" w:fill="FBE4E8"/>
            <w:vAlign w:val="center"/>
          </w:tcPr>
          <w:p w14:paraId="73652AE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33</w:t>
            </w:r>
          </w:p>
        </w:tc>
        <w:tc>
          <w:tcPr>
            <w:tcW w:w="448" w:type="dxa"/>
            <w:shd w:val="clear" w:color="auto" w:fill="FBE4E8"/>
            <w:vAlign w:val="center"/>
          </w:tcPr>
          <w:p w14:paraId="0661AC3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2656EFA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87900</w:t>
            </w:r>
          </w:p>
        </w:tc>
        <w:tc>
          <w:tcPr>
            <w:tcW w:w="6839" w:type="dxa"/>
            <w:shd w:val="clear" w:color="auto" w:fill="FBE4E8"/>
            <w:vAlign w:val="center"/>
          </w:tcPr>
          <w:p w14:paraId="4E66C98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Corante Alimentício: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líquido; cores diversas; utilizado para dar cor a alimentos e bebidas, como bolos, doces, sorvetes, sobremesas, e preparações em geral; validade mínima de 80% do prazo inicial ainda válido, contado a partir da data de entrega; produto deve atender às normas da ANVISA e legislações vigentes.</w:t>
            </w:r>
          </w:p>
        </w:tc>
        <w:tc>
          <w:tcPr>
            <w:tcW w:w="1254" w:type="dxa"/>
            <w:shd w:val="clear" w:color="auto" w:fill="FBE4E8"/>
            <w:vAlign w:val="center"/>
          </w:tcPr>
          <w:p w14:paraId="7FF799C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7A15FB5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10 mL</w:t>
            </w:r>
          </w:p>
        </w:tc>
        <w:tc>
          <w:tcPr>
            <w:tcW w:w="744" w:type="dxa"/>
            <w:shd w:val="clear" w:color="auto" w:fill="FBE4E8"/>
            <w:vAlign w:val="center"/>
          </w:tcPr>
          <w:p w14:paraId="214B3FA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210</w:t>
            </w:r>
          </w:p>
        </w:tc>
        <w:tc>
          <w:tcPr>
            <w:tcW w:w="1074" w:type="dxa"/>
            <w:shd w:val="clear" w:color="auto" w:fill="FBE4E8"/>
            <w:vAlign w:val="center"/>
          </w:tcPr>
          <w:p w14:paraId="65E1E66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709E316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5CD8ABD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56046D3">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46" w:hRule="atLeast"/>
        </w:trPr>
        <w:tc>
          <w:tcPr>
            <w:tcW w:w="480" w:type="dxa"/>
            <w:shd w:val="clear" w:color="auto" w:fill="FFFFFF"/>
            <w:vAlign w:val="center"/>
          </w:tcPr>
          <w:p w14:paraId="27672CF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34</w:t>
            </w:r>
          </w:p>
        </w:tc>
        <w:tc>
          <w:tcPr>
            <w:tcW w:w="448" w:type="dxa"/>
            <w:shd w:val="clear" w:color="auto" w:fill="FFFFFF"/>
            <w:vAlign w:val="center"/>
          </w:tcPr>
          <w:p w14:paraId="236C499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279D186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87901</w:t>
            </w:r>
          </w:p>
        </w:tc>
        <w:tc>
          <w:tcPr>
            <w:tcW w:w="6839" w:type="dxa"/>
            <w:shd w:val="clear" w:color="auto" w:fill="FFFFFF"/>
            <w:vAlign w:val="center"/>
          </w:tcPr>
          <w:p w14:paraId="285F7378">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Chantilly:</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cremoso, de cor branca, com sabor suave e levemente doce, obtido a partir de creme de leite batido, podendo conter estabilizantes e adoçantes; utilizado como cobertura ou recheio para bolos, tortas, sobremesas, e outras preparações culinárias; validade mínima de 80% do prazo inicial ainda válido, contado a partir da data de entrega; produto deve atender às normas da ANVISA e legislações vigentes.</w:t>
            </w:r>
          </w:p>
        </w:tc>
        <w:tc>
          <w:tcPr>
            <w:tcW w:w="1254" w:type="dxa"/>
            <w:shd w:val="clear" w:color="auto" w:fill="FFFFFF"/>
            <w:vAlign w:val="center"/>
          </w:tcPr>
          <w:p w14:paraId="3D831B9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30C307C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mL</w:t>
            </w:r>
          </w:p>
        </w:tc>
        <w:tc>
          <w:tcPr>
            <w:tcW w:w="744" w:type="dxa"/>
            <w:shd w:val="clear" w:color="auto" w:fill="FFFFFF"/>
            <w:vAlign w:val="center"/>
          </w:tcPr>
          <w:p w14:paraId="143F188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275</w:t>
            </w:r>
          </w:p>
        </w:tc>
        <w:tc>
          <w:tcPr>
            <w:tcW w:w="1074" w:type="dxa"/>
            <w:shd w:val="clear" w:color="auto" w:fill="FFFFFF"/>
            <w:vAlign w:val="center"/>
          </w:tcPr>
          <w:p w14:paraId="068F0C3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39A8308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6665C29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55CB9688">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34" w:hRule="atLeast"/>
        </w:trPr>
        <w:tc>
          <w:tcPr>
            <w:tcW w:w="480" w:type="dxa"/>
            <w:shd w:val="clear" w:color="auto" w:fill="FBE4E8"/>
            <w:vAlign w:val="center"/>
          </w:tcPr>
          <w:p w14:paraId="2A09252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35</w:t>
            </w:r>
          </w:p>
        </w:tc>
        <w:tc>
          <w:tcPr>
            <w:tcW w:w="448" w:type="dxa"/>
            <w:shd w:val="clear" w:color="auto" w:fill="FBE4E8"/>
            <w:vAlign w:val="center"/>
          </w:tcPr>
          <w:p w14:paraId="4CACBFD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326900A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87902</w:t>
            </w:r>
          </w:p>
        </w:tc>
        <w:tc>
          <w:tcPr>
            <w:tcW w:w="6839" w:type="dxa"/>
            <w:shd w:val="clear" w:color="auto" w:fill="FBE4E8"/>
            <w:vAlign w:val="center"/>
          </w:tcPr>
          <w:p w14:paraId="78DDEBDA">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Requeijão: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cremoso, de cor branca a levemente amarelada, com sabor suave e aroma característico; utilizado como ingrediente ou cobertura em pães, torradas, sanduíches, massas, tortas, entre outras preparações culinárias diversas; validade mínima de 80% do prazo inicial ainda válido, contado a partir da data de entrega; produto deve atender às normas da ANVISA e legislações vigentes.</w:t>
            </w:r>
          </w:p>
        </w:tc>
        <w:tc>
          <w:tcPr>
            <w:tcW w:w="1254" w:type="dxa"/>
            <w:shd w:val="clear" w:color="auto" w:fill="FBE4E8"/>
            <w:vAlign w:val="center"/>
          </w:tcPr>
          <w:p w14:paraId="17C5584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B8402E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g</w:t>
            </w:r>
          </w:p>
        </w:tc>
        <w:tc>
          <w:tcPr>
            <w:tcW w:w="744" w:type="dxa"/>
            <w:shd w:val="clear" w:color="auto" w:fill="FBE4E8"/>
            <w:vAlign w:val="center"/>
          </w:tcPr>
          <w:p w14:paraId="7274B76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560</w:t>
            </w:r>
          </w:p>
        </w:tc>
        <w:tc>
          <w:tcPr>
            <w:tcW w:w="1074" w:type="dxa"/>
            <w:shd w:val="clear" w:color="auto" w:fill="FBE4E8"/>
            <w:vAlign w:val="center"/>
          </w:tcPr>
          <w:p w14:paraId="6A85A1E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4E3EFE7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34C287B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1C93238">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1011" w:hRule="atLeast"/>
        </w:trPr>
        <w:tc>
          <w:tcPr>
            <w:tcW w:w="480" w:type="dxa"/>
            <w:shd w:val="clear" w:color="auto" w:fill="FFFFFF"/>
            <w:vAlign w:val="center"/>
          </w:tcPr>
          <w:p w14:paraId="515809C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36</w:t>
            </w:r>
          </w:p>
        </w:tc>
        <w:tc>
          <w:tcPr>
            <w:tcW w:w="448" w:type="dxa"/>
            <w:shd w:val="clear" w:color="auto" w:fill="FFFFFF"/>
            <w:vAlign w:val="center"/>
          </w:tcPr>
          <w:p w14:paraId="0E35113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7C6CEF3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87903</w:t>
            </w:r>
          </w:p>
        </w:tc>
        <w:tc>
          <w:tcPr>
            <w:tcW w:w="6839" w:type="dxa"/>
            <w:shd w:val="clear" w:color="auto" w:fill="FFFFFF"/>
            <w:vAlign w:val="center"/>
          </w:tcPr>
          <w:p w14:paraId="3E64F5B3">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Pêssego em Calda: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fatias ou metades de pêssegos conservados em calda doce, de cor amarela a alaranjada, com sabor doce e aroma característico da fruta; utilizado em sobremesas, como recheios de tortas, bolos, ou como acompanhamento de iogurtes e outras preparações culinárias; validade mínima de 80% do prazo inicial ainda válido, contado a partir da data de entrega; produto deve atender às normas da ANVISA e legislações vigentes.</w:t>
            </w:r>
          </w:p>
        </w:tc>
        <w:tc>
          <w:tcPr>
            <w:tcW w:w="1254" w:type="dxa"/>
            <w:shd w:val="clear" w:color="auto" w:fill="FFFFFF"/>
            <w:vAlign w:val="center"/>
          </w:tcPr>
          <w:p w14:paraId="42FDEC3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00D7AA1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450 g</w:t>
            </w:r>
          </w:p>
        </w:tc>
        <w:tc>
          <w:tcPr>
            <w:tcW w:w="744" w:type="dxa"/>
            <w:shd w:val="clear" w:color="auto" w:fill="FFFFFF"/>
            <w:vAlign w:val="center"/>
          </w:tcPr>
          <w:p w14:paraId="1CE7DE0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1500</w:t>
            </w:r>
          </w:p>
        </w:tc>
        <w:tc>
          <w:tcPr>
            <w:tcW w:w="1074" w:type="dxa"/>
            <w:shd w:val="clear" w:color="auto" w:fill="FFFFFF"/>
            <w:vAlign w:val="center"/>
          </w:tcPr>
          <w:p w14:paraId="664C5AC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47B9A54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4E9090A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3FCD3F9">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548" w:hRule="atLeast"/>
        </w:trPr>
        <w:tc>
          <w:tcPr>
            <w:tcW w:w="480" w:type="dxa"/>
            <w:vMerge w:val="restart"/>
            <w:shd w:val="clear" w:color="auto" w:fill="FBE4E8"/>
            <w:vAlign w:val="center"/>
          </w:tcPr>
          <w:p w14:paraId="0D0E1A6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37</w:t>
            </w:r>
          </w:p>
        </w:tc>
        <w:tc>
          <w:tcPr>
            <w:tcW w:w="448" w:type="dxa"/>
            <w:shd w:val="clear" w:color="auto" w:fill="FBE4E8"/>
            <w:vAlign w:val="center"/>
          </w:tcPr>
          <w:p w14:paraId="07D8D79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11DF2D8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87904</w:t>
            </w:r>
          </w:p>
        </w:tc>
        <w:tc>
          <w:tcPr>
            <w:tcW w:w="6839" w:type="dxa"/>
            <w:shd w:val="clear" w:color="auto" w:fill="FBE4E8"/>
            <w:vAlign w:val="center"/>
          </w:tcPr>
          <w:p w14:paraId="7C4B98D9">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Bolo Pronto: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macio e úmido, com textura e sabor característicos; sem recheio; sabores diversos; adequado para consumo imediato; validade mínima de 80% do prazo inicial ainda válido, contado a partir da data de entrega; produto deve atender às normas da ANVISA e legislações vigentes.</w:t>
            </w:r>
          </w:p>
        </w:tc>
        <w:tc>
          <w:tcPr>
            <w:tcW w:w="1254" w:type="dxa"/>
            <w:shd w:val="clear" w:color="auto" w:fill="FBE4E8"/>
            <w:vAlign w:val="center"/>
          </w:tcPr>
          <w:p w14:paraId="6922B24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2D7541E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250 g</w:t>
            </w:r>
          </w:p>
        </w:tc>
        <w:tc>
          <w:tcPr>
            <w:tcW w:w="744" w:type="dxa"/>
            <w:shd w:val="clear" w:color="auto" w:fill="FBE4E8"/>
            <w:vAlign w:val="center"/>
          </w:tcPr>
          <w:p w14:paraId="2716286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1640</w:t>
            </w:r>
          </w:p>
        </w:tc>
        <w:tc>
          <w:tcPr>
            <w:tcW w:w="1074" w:type="dxa"/>
            <w:shd w:val="clear" w:color="auto" w:fill="FBE4E8"/>
            <w:vAlign w:val="center"/>
          </w:tcPr>
          <w:p w14:paraId="122C638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1B40FB2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BE4E8"/>
            <w:vAlign w:val="center"/>
          </w:tcPr>
          <w:p w14:paraId="1350790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17F5CBDE">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496" w:hRule="atLeast"/>
        </w:trPr>
        <w:tc>
          <w:tcPr>
            <w:tcW w:w="480" w:type="dxa"/>
            <w:vMerge w:val="continue"/>
            <w:shd w:val="clear" w:color="auto" w:fill="FFFFFF"/>
            <w:vAlign w:val="center"/>
          </w:tcPr>
          <w:p w14:paraId="158A97B1">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3579C5D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2585AAF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87905</w:t>
            </w:r>
          </w:p>
        </w:tc>
        <w:tc>
          <w:tcPr>
            <w:tcW w:w="6839" w:type="dxa"/>
            <w:shd w:val="clear" w:color="auto" w:fill="FBE4E8"/>
            <w:vAlign w:val="center"/>
          </w:tcPr>
          <w:p w14:paraId="6ADF013A">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Bolinho Recheado: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macio; recheio interno de sabores variados; adequado para consumo direto; validade mínima de 80% do prazo inicial ainda válido, contado a partir da data de entrega; produto deve atender às normas da ANVISA e legislações vigentes.</w:t>
            </w:r>
          </w:p>
        </w:tc>
        <w:tc>
          <w:tcPr>
            <w:tcW w:w="1254" w:type="dxa"/>
            <w:shd w:val="clear" w:color="auto" w:fill="FBE4E8"/>
            <w:vAlign w:val="center"/>
          </w:tcPr>
          <w:p w14:paraId="5BE6CD5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0581A92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 g</w:t>
            </w:r>
          </w:p>
        </w:tc>
        <w:tc>
          <w:tcPr>
            <w:tcW w:w="744" w:type="dxa"/>
            <w:shd w:val="clear" w:color="auto" w:fill="FBE4E8"/>
            <w:vAlign w:val="center"/>
          </w:tcPr>
          <w:p w14:paraId="426E667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2500</w:t>
            </w:r>
          </w:p>
        </w:tc>
        <w:tc>
          <w:tcPr>
            <w:tcW w:w="1074" w:type="dxa"/>
            <w:shd w:val="clear" w:color="auto" w:fill="FBE4E8"/>
            <w:vAlign w:val="center"/>
          </w:tcPr>
          <w:p w14:paraId="214D47E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1D2871B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FFFFF"/>
            <w:vAlign w:val="center"/>
          </w:tcPr>
          <w:p w14:paraId="6DBC828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2FA501C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628" w:hRule="atLeast"/>
        </w:trPr>
        <w:tc>
          <w:tcPr>
            <w:tcW w:w="480" w:type="dxa"/>
            <w:vMerge w:val="restart"/>
            <w:shd w:val="clear" w:color="auto" w:fill="FFFFFF"/>
            <w:vAlign w:val="center"/>
          </w:tcPr>
          <w:p w14:paraId="13D28F2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38</w:t>
            </w:r>
          </w:p>
        </w:tc>
        <w:tc>
          <w:tcPr>
            <w:tcW w:w="448" w:type="dxa"/>
            <w:shd w:val="clear" w:color="auto" w:fill="FFFFFF"/>
            <w:vAlign w:val="center"/>
          </w:tcPr>
          <w:p w14:paraId="225BF8E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08A5F38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87906</w:t>
            </w:r>
          </w:p>
        </w:tc>
        <w:tc>
          <w:tcPr>
            <w:tcW w:w="6839" w:type="dxa"/>
            <w:shd w:val="clear" w:color="auto" w:fill="FFFFFF"/>
            <w:vAlign w:val="center"/>
          </w:tcPr>
          <w:p w14:paraId="46967569">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Wafer de Chocolate (Bis ou Equivalente):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crocante, com camadas finas de wafer e cobertura de chocolate, de cor marrom escuro, com sabor doce e aroma característico do chocolate; validade mínima de 80% do prazo inicial ainda válido, contado a partir da data de entrega; produto deve atender às normas da ANVISA e legislações vigentes.</w:t>
            </w:r>
          </w:p>
        </w:tc>
        <w:tc>
          <w:tcPr>
            <w:tcW w:w="1254" w:type="dxa"/>
            <w:shd w:val="clear" w:color="auto" w:fill="FFFFFF"/>
            <w:vAlign w:val="center"/>
          </w:tcPr>
          <w:p w14:paraId="1768D8E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662D5CA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100,8 g</w:t>
            </w:r>
          </w:p>
        </w:tc>
        <w:tc>
          <w:tcPr>
            <w:tcW w:w="744" w:type="dxa"/>
            <w:shd w:val="clear" w:color="auto" w:fill="FFFFFF"/>
            <w:vAlign w:val="center"/>
          </w:tcPr>
          <w:p w14:paraId="3AEDF32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1700</w:t>
            </w:r>
          </w:p>
        </w:tc>
        <w:tc>
          <w:tcPr>
            <w:tcW w:w="1074" w:type="dxa"/>
            <w:shd w:val="clear" w:color="auto" w:fill="FFFFFF"/>
            <w:vAlign w:val="center"/>
          </w:tcPr>
          <w:p w14:paraId="23493B9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2D64E1A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FFFFF"/>
            <w:vAlign w:val="center"/>
          </w:tcPr>
          <w:p w14:paraId="2E1F76F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1645136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03" w:hRule="atLeast"/>
        </w:trPr>
        <w:tc>
          <w:tcPr>
            <w:tcW w:w="480" w:type="dxa"/>
            <w:vMerge w:val="continue"/>
            <w:shd w:val="clear" w:color="auto" w:fill="FFFFFF"/>
            <w:vAlign w:val="center"/>
          </w:tcPr>
          <w:p w14:paraId="2530F237">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42FAEDB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pt-BR" w:eastAsia="zh-CN" w:bidi="ar"/>
              </w:rPr>
              <w:t>2</w:t>
            </w:r>
          </w:p>
        </w:tc>
        <w:tc>
          <w:tcPr>
            <w:tcW w:w="792" w:type="dxa"/>
            <w:shd w:val="clear" w:color="auto" w:fill="FFFFFF"/>
            <w:vAlign w:val="center"/>
          </w:tcPr>
          <w:p w14:paraId="44C71A2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87907</w:t>
            </w:r>
          </w:p>
        </w:tc>
        <w:tc>
          <w:tcPr>
            <w:tcW w:w="6839" w:type="dxa"/>
            <w:shd w:val="clear" w:color="auto" w:fill="FFFFFF"/>
            <w:vAlign w:val="center"/>
          </w:tcPr>
          <w:p w14:paraId="59FA7610">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Caixa de Variedades (chocolates):</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embalagem contendo chocolates diversos (bombons, trufas, tabletes, entre outros), com cores e formatos variados, com sabor e aroma característicos de chocolate, podendo ser ao leite, amargo ou branco; adequado para consumo direto, como presente ou sobremesa; validade mínima de 80% do prazo inicial ainda válido, contado a partir da data de entrega; produto deve atender às normas da ANVISA e legislações vigentes.</w:t>
            </w:r>
          </w:p>
        </w:tc>
        <w:tc>
          <w:tcPr>
            <w:tcW w:w="1254" w:type="dxa"/>
            <w:shd w:val="clear" w:color="auto" w:fill="FFFFFF"/>
            <w:vAlign w:val="center"/>
          </w:tcPr>
          <w:p w14:paraId="6F8A8B6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050CDF7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250 g</w:t>
            </w:r>
          </w:p>
        </w:tc>
        <w:tc>
          <w:tcPr>
            <w:tcW w:w="744" w:type="dxa"/>
            <w:shd w:val="clear" w:color="auto" w:fill="FFFFFF"/>
            <w:vAlign w:val="center"/>
          </w:tcPr>
          <w:p w14:paraId="67C4B16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1620</w:t>
            </w:r>
          </w:p>
        </w:tc>
        <w:tc>
          <w:tcPr>
            <w:tcW w:w="1074" w:type="dxa"/>
            <w:shd w:val="clear" w:color="auto" w:fill="FFFFFF"/>
            <w:vAlign w:val="center"/>
          </w:tcPr>
          <w:p w14:paraId="1625DA2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4899664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FFFFF"/>
            <w:vAlign w:val="center"/>
          </w:tcPr>
          <w:p w14:paraId="045D5FE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05FC8E28">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88" w:hRule="atLeast"/>
        </w:trPr>
        <w:tc>
          <w:tcPr>
            <w:tcW w:w="480" w:type="dxa"/>
            <w:vMerge w:val="continue"/>
            <w:shd w:val="clear" w:color="auto" w:fill="FFFFFF"/>
            <w:vAlign w:val="center"/>
          </w:tcPr>
          <w:p w14:paraId="26BC6F80">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299500F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FFFFF"/>
            <w:vAlign w:val="center"/>
          </w:tcPr>
          <w:p w14:paraId="17CBEA9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87908</w:t>
            </w:r>
          </w:p>
        </w:tc>
        <w:tc>
          <w:tcPr>
            <w:tcW w:w="6839" w:type="dxa"/>
            <w:shd w:val="clear" w:color="auto" w:fill="FFFFFF"/>
            <w:vAlign w:val="center"/>
          </w:tcPr>
          <w:p w14:paraId="4161ABD4">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Bombom:</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pequeno doce coberto com chocolate branco ou convencional (conforme solicitação da contratante), com recheio cremoso ou sólido; validade mínima de 80% do prazo inicial ainda válido, contado a partir da data de entrega; produto deve atender às normas da ANVISA e legislações vigentes.</w:t>
            </w:r>
          </w:p>
        </w:tc>
        <w:tc>
          <w:tcPr>
            <w:tcW w:w="1254" w:type="dxa"/>
            <w:shd w:val="clear" w:color="auto" w:fill="FFFFFF"/>
            <w:vAlign w:val="center"/>
          </w:tcPr>
          <w:p w14:paraId="6285C2C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043A4FF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kg</w:t>
            </w:r>
          </w:p>
        </w:tc>
        <w:tc>
          <w:tcPr>
            <w:tcW w:w="744" w:type="dxa"/>
            <w:shd w:val="clear" w:color="auto" w:fill="FFFFFF"/>
            <w:vAlign w:val="center"/>
          </w:tcPr>
          <w:p w14:paraId="4580208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FFFFF"/>
            <w:vAlign w:val="center"/>
          </w:tcPr>
          <w:p w14:paraId="14A7588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35A5EE5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FFFFF"/>
            <w:vAlign w:val="center"/>
          </w:tcPr>
          <w:p w14:paraId="508CD37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C32D087">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670" w:hRule="atLeast"/>
        </w:trPr>
        <w:tc>
          <w:tcPr>
            <w:tcW w:w="480" w:type="dxa"/>
            <w:shd w:val="clear" w:color="auto" w:fill="FBE4E8"/>
            <w:vAlign w:val="center"/>
          </w:tcPr>
          <w:p w14:paraId="3DEC8AF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39</w:t>
            </w:r>
          </w:p>
        </w:tc>
        <w:tc>
          <w:tcPr>
            <w:tcW w:w="448" w:type="dxa"/>
            <w:shd w:val="clear" w:color="auto" w:fill="FBE4E8"/>
            <w:vAlign w:val="center"/>
          </w:tcPr>
          <w:p w14:paraId="213A047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6187E46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87909</w:t>
            </w:r>
          </w:p>
        </w:tc>
        <w:tc>
          <w:tcPr>
            <w:tcW w:w="6839" w:type="dxa"/>
            <w:shd w:val="clear" w:color="auto" w:fill="FBE4E8"/>
            <w:vAlign w:val="center"/>
          </w:tcPr>
          <w:p w14:paraId="27FAE904">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Salgadinho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crocante; com cor amarela ou dourada; sabores variados; adequado para consumo direto ou em lanches, festas e eventos; validade mínima de 80% do prazo inicial ainda válido, contado a partir da data de entrega; produto deve atender às normas da ANVISA e legislações vigentes.</w:t>
            </w:r>
          </w:p>
        </w:tc>
        <w:tc>
          <w:tcPr>
            <w:tcW w:w="1254" w:type="dxa"/>
            <w:shd w:val="clear" w:color="auto" w:fill="FBE4E8"/>
            <w:vAlign w:val="center"/>
          </w:tcPr>
          <w:p w14:paraId="36C76BA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8AB54B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 g</w:t>
            </w:r>
          </w:p>
        </w:tc>
        <w:tc>
          <w:tcPr>
            <w:tcW w:w="744" w:type="dxa"/>
            <w:shd w:val="clear" w:color="auto" w:fill="FBE4E8"/>
            <w:vAlign w:val="center"/>
          </w:tcPr>
          <w:p w14:paraId="598C07F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4400</w:t>
            </w:r>
          </w:p>
        </w:tc>
        <w:tc>
          <w:tcPr>
            <w:tcW w:w="1074" w:type="dxa"/>
            <w:shd w:val="clear" w:color="auto" w:fill="FBE4E8"/>
            <w:vAlign w:val="center"/>
          </w:tcPr>
          <w:p w14:paraId="3DE6614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6F1EBA6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331B56B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bl>
    <w:p w14:paraId="2E846D21">
      <w:pPr>
        <w:pStyle w:val="131"/>
        <w:widowControl/>
        <w:tabs>
          <w:tab w:val="left" w:pos="709"/>
        </w:tabs>
        <w:spacing w:line="300" w:lineRule="atLeast"/>
        <w:ind w:left="709" w:hanging="709"/>
        <w:jc w:val="both"/>
        <w:rPr>
          <w:rFonts w:hint="default" w:ascii="Calibri" w:hAnsi="Calibri" w:cs="Calibri"/>
          <w:sz w:val="21"/>
          <w:szCs w:val="21"/>
          <w:lang w:val="pt-BR"/>
        </w:rPr>
      </w:pPr>
    </w:p>
    <w:p w14:paraId="26CAE01A">
      <w:pPr>
        <w:pStyle w:val="131"/>
        <w:widowControl/>
        <w:tabs>
          <w:tab w:val="left" w:pos="567"/>
        </w:tabs>
        <w:ind w:left="567" w:hanging="567"/>
        <w:jc w:val="both"/>
        <w:rPr>
          <w:rFonts w:hint="default" w:ascii="Calibri" w:hAnsi="Calibri" w:cs="Calibri"/>
          <w:b/>
          <w:sz w:val="21"/>
          <w:szCs w:val="21"/>
          <w:lang w:val="pt-BR"/>
        </w:rPr>
      </w:pPr>
      <w:r>
        <w:rPr>
          <w:rFonts w:hint="default" w:ascii="Calibri" w:hAnsi="Calibri" w:cs="Calibri"/>
          <w:b/>
          <w:sz w:val="21"/>
          <w:szCs w:val="21"/>
          <w:lang w:val="pt-BR"/>
        </w:rPr>
        <w:t>Condições gerais</w:t>
      </w:r>
    </w:p>
    <w:p w14:paraId="72C1F560">
      <w:pPr>
        <w:pStyle w:val="131"/>
        <w:widowControl/>
        <w:tabs>
          <w:tab w:val="left" w:pos="0"/>
        </w:tabs>
        <w:jc w:val="both"/>
        <w:rPr>
          <w:rFonts w:hint="default" w:ascii="Calibri" w:hAnsi="Calibri" w:cs="Calibri"/>
          <w:sz w:val="21"/>
          <w:szCs w:val="21"/>
          <w:lang w:val="pt-BR"/>
        </w:rPr>
      </w:pPr>
    </w:p>
    <w:p w14:paraId="061E009B">
      <w:pPr>
        <w:pStyle w:val="131"/>
        <w:widowControl/>
        <w:tabs>
          <w:tab w:val="left" w:pos="0"/>
        </w:tabs>
        <w:jc w:val="both"/>
        <w:rPr>
          <w:rFonts w:hint="default" w:ascii="Calibri" w:hAnsi="Calibri" w:cs="Calibri"/>
          <w:sz w:val="21"/>
          <w:szCs w:val="21"/>
          <w:lang w:val="pt-BR"/>
        </w:rPr>
      </w:pPr>
      <w:r>
        <w:rPr>
          <w:rFonts w:hint="default" w:ascii="Calibri" w:hAnsi="Calibri" w:cs="Calibri"/>
          <w:sz w:val="21"/>
          <w:szCs w:val="21"/>
          <w:lang w:val="pt-BR"/>
        </w:rPr>
        <w:t>A proponente declara conhecer e aceitar todos os termos do instrumento convocatório que rege a presente licitação.</w:t>
      </w:r>
    </w:p>
    <w:p w14:paraId="27C3431A">
      <w:pPr>
        <w:pStyle w:val="140"/>
        <w:tabs>
          <w:tab w:val="left" w:pos="567"/>
        </w:tabs>
        <w:spacing w:before="0" w:after="0" w:line="300" w:lineRule="atLeast"/>
        <w:ind w:right="169" w:rightChars="0"/>
        <w:jc w:val="both"/>
        <w:rPr>
          <w:rFonts w:hint="default" w:ascii="Calibri" w:hAnsi="Calibri" w:cs="Calibri"/>
          <w:b w:val="0"/>
          <w:sz w:val="21"/>
          <w:szCs w:val="21"/>
        </w:rPr>
      </w:pPr>
    </w:p>
    <w:p w14:paraId="3909AD72">
      <w:pPr>
        <w:pStyle w:val="140"/>
        <w:tabs>
          <w:tab w:val="left" w:pos="567"/>
        </w:tabs>
        <w:spacing w:before="0" w:after="0" w:line="300" w:lineRule="atLeast"/>
        <w:ind w:right="169" w:rightChars="0"/>
        <w:jc w:val="both"/>
        <w:rPr>
          <w:rFonts w:hint="default" w:ascii="Calibri" w:hAnsi="Calibri" w:cs="Calibri"/>
          <w:sz w:val="21"/>
          <w:szCs w:val="21"/>
        </w:rPr>
      </w:pPr>
      <w:r>
        <w:rPr>
          <w:rFonts w:hint="default" w:ascii="Calibri" w:hAnsi="Calibri" w:cs="Calibri"/>
          <w:b w:val="0"/>
          <w:sz w:val="21"/>
          <w:szCs w:val="21"/>
        </w:rPr>
        <w:t>A proposta tem validade de .......... (...............) dias</w:t>
      </w:r>
      <w:r>
        <w:rPr>
          <w:rFonts w:hint="default" w:ascii="Calibri" w:hAnsi="Calibri" w:cs="Calibri"/>
          <w:b w:val="0"/>
          <w:sz w:val="21"/>
          <w:szCs w:val="21"/>
          <w:lang w:val="pt-BR"/>
        </w:rPr>
        <w:t xml:space="preserve"> </w:t>
      </w:r>
      <w:r>
        <w:rPr>
          <w:rFonts w:hint="default" w:ascii="Calibri" w:hAnsi="Calibri" w:cs="Calibri"/>
          <w:b w:val="0"/>
          <w:sz w:val="21"/>
          <w:szCs w:val="21"/>
        </w:rPr>
        <w:t xml:space="preserve">– </w:t>
      </w:r>
      <w:r>
        <w:rPr>
          <w:rFonts w:hint="default" w:ascii="Calibri" w:hAnsi="Calibri" w:cs="Calibri"/>
          <w:sz w:val="21"/>
          <w:szCs w:val="21"/>
        </w:rPr>
        <w:t>OBS: mínimo de 60 (sessenta) dias, a partir da</w:t>
      </w:r>
      <w:r>
        <w:rPr>
          <w:rFonts w:hint="default" w:ascii="Calibri" w:hAnsi="Calibri" w:cs="Calibri"/>
          <w:sz w:val="21"/>
          <w:szCs w:val="21"/>
          <w:lang w:val="pt-BR"/>
        </w:rPr>
        <w:t xml:space="preserve"> </w:t>
      </w:r>
      <w:r>
        <w:rPr>
          <w:rFonts w:hint="default" w:ascii="Calibri" w:hAnsi="Calibri" w:cs="Calibri"/>
          <w:sz w:val="21"/>
          <w:szCs w:val="21"/>
        </w:rPr>
        <w:t>data de abertura do pregão.</w:t>
      </w:r>
    </w:p>
    <w:p w14:paraId="3A6C864A">
      <w:pPr>
        <w:keepLines/>
        <w:jc w:val="both"/>
        <w:rPr>
          <w:rFonts w:hint="default" w:ascii="Calibri" w:hAnsi="Calibri" w:cs="Calibri"/>
          <w:sz w:val="21"/>
          <w:szCs w:val="21"/>
        </w:rPr>
      </w:pPr>
    </w:p>
    <w:p w14:paraId="47B583FA">
      <w:pPr>
        <w:keepLines/>
        <w:jc w:val="both"/>
        <w:rPr>
          <w:rFonts w:hint="default" w:ascii="Calibri" w:hAnsi="Calibri" w:cs="Calibri"/>
          <w:sz w:val="21"/>
          <w:szCs w:val="21"/>
        </w:rPr>
      </w:pPr>
      <w:r>
        <w:rPr>
          <w:rFonts w:hint="default" w:ascii="Calibri" w:hAnsi="Calibri" w:cs="Calibri"/>
          <w:sz w:val="21"/>
          <w:szCs w:val="21"/>
        </w:rPr>
        <w:t xml:space="preserve">O Prazo de </w:t>
      </w:r>
      <w:r>
        <w:rPr>
          <w:rFonts w:hint="default" w:ascii="Calibri" w:hAnsi="Calibri" w:cs="Calibri"/>
          <w:sz w:val="21"/>
          <w:szCs w:val="21"/>
          <w:lang w:val="pt-BR"/>
        </w:rPr>
        <w:t>execução do</w:t>
      </w:r>
      <w:r>
        <w:rPr>
          <w:rFonts w:hint="default" w:ascii="Calibri" w:hAnsi="Calibri" w:cs="Calibri"/>
          <w:sz w:val="21"/>
          <w:szCs w:val="21"/>
        </w:rPr>
        <w:t xml:space="preserve"> objeto ocorrerá conforme necessidade do (órgão) e determinada no EDITAL -  Anexo I.</w:t>
      </w:r>
    </w:p>
    <w:p w14:paraId="70E3FBDC">
      <w:pPr>
        <w:pStyle w:val="131"/>
        <w:widowControl/>
        <w:tabs>
          <w:tab w:val="left" w:pos="0"/>
        </w:tabs>
        <w:spacing w:line="300" w:lineRule="atLeast"/>
        <w:jc w:val="both"/>
        <w:rPr>
          <w:rFonts w:hint="default" w:ascii="Calibri" w:hAnsi="Calibri" w:cs="Calibri"/>
          <w:sz w:val="21"/>
          <w:szCs w:val="21"/>
          <w:lang w:val="pt-BR"/>
        </w:rPr>
      </w:pPr>
    </w:p>
    <w:p w14:paraId="6EF9A95D">
      <w:pPr>
        <w:pStyle w:val="131"/>
        <w:widowControl/>
        <w:tabs>
          <w:tab w:val="left" w:pos="0"/>
        </w:tabs>
        <w:spacing w:line="300" w:lineRule="atLeast"/>
        <w:jc w:val="both"/>
        <w:rPr>
          <w:rFonts w:hint="default" w:ascii="Calibri" w:hAnsi="Calibri" w:cs="Calibri"/>
          <w:sz w:val="21"/>
          <w:szCs w:val="21"/>
          <w:lang w:val="pt-BR"/>
        </w:rPr>
      </w:pPr>
      <w:r>
        <w:rPr>
          <w:rFonts w:hint="default" w:ascii="Calibri" w:hAnsi="Calibri" w:cs="Calibri"/>
          <w:sz w:val="21"/>
          <w:szCs w:val="21"/>
          <w:lang w:val="pt-BR"/>
        </w:rPr>
        <w:t>O preço proposto acima contempla todas as despesas necessárias ao pleno fornecimento, tais como os encargos (obrigações sociais, impostos, taxas, frete etc.), e demais previstas no edital.</w:t>
      </w:r>
    </w:p>
    <w:p w14:paraId="50D261C3">
      <w:pPr>
        <w:pStyle w:val="131"/>
        <w:widowControl/>
        <w:tabs>
          <w:tab w:val="left" w:pos="0"/>
        </w:tabs>
        <w:spacing w:line="300" w:lineRule="atLeast"/>
        <w:jc w:val="both"/>
        <w:rPr>
          <w:rFonts w:hint="default" w:ascii="Calibri" w:hAnsi="Calibri" w:cs="Calibri"/>
          <w:sz w:val="21"/>
          <w:szCs w:val="21"/>
          <w:lang w:val="pt-BR"/>
        </w:rPr>
      </w:pPr>
    </w:p>
    <w:p w14:paraId="04B75C2B">
      <w:pPr>
        <w:pStyle w:val="131"/>
        <w:widowControl/>
        <w:tabs>
          <w:tab w:val="left" w:pos="0"/>
        </w:tabs>
        <w:spacing w:line="300" w:lineRule="atLeast"/>
        <w:jc w:val="both"/>
        <w:rPr>
          <w:rFonts w:hint="default" w:ascii="Calibri" w:hAnsi="Calibri" w:cs="Calibri"/>
          <w:sz w:val="21"/>
          <w:szCs w:val="21"/>
          <w:highlight w:val="yellow"/>
          <w:lang w:val="pt-BR"/>
        </w:rPr>
      </w:pPr>
      <w:r>
        <w:rPr>
          <w:rFonts w:hint="default" w:ascii="Calibri" w:hAnsi="Calibri" w:cs="Calibri"/>
          <w:sz w:val="21"/>
          <w:szCs w:val="21"/>
          <w:highlight w:val="yellow"/>
          <w:lang w:val="pt-BR"/>
        </w:rPr>
        <w:t>OBS: CASO O REPRESENTANTE LEGAL QUE A ESTE ASSINA, NÃO SEJA O MESMO QUE ASSINARÁ A ATA, REMETER OS DADOS DESTE ÚLTIMO, NOS MESMOS TERMOS AQUI DESCRITOS, ACOMPANHADOS DOS DOCUMENTOS QUE COMPROVAM SUA REPRESENTAÇÃO LEGAL DA LICITANTE.</w:t>
      </w:r>
    </w:p>
    <w:p w14:paraId="36DB3743">
      <w:pPr>
        <w:jc w:val="center"/>
        <w:rPr>
          <w:rFonts w:hint="default" w:ascii="Calibri" w:hAnsi="Calibri" w:cs="Calibri"/>
          <w:color w:val="000000"/>
          <w:sz w:val="21"/>
          <w:szCs w:val="21"/>
        </w:rPr>
      </w:pPr>
      <w:r>
        <w:rPr>
          <w:rFonts w:hint="default" w:ascii="Calibri" w:hAnsi="Calibri" w:cs="Calibri"/>
          <w:color w:val="000000"/>
          <w:sz w:val="21"/>
          <w:szCs w:val="21"/>
        </w:rPr>
        <w:t>(Local e data)</w:t>
      </w:r>
    </w:p>
    <w:p w14:paraId="3682E50B">
      <w:pPr>
        <w:pStyle w:val="131"/>
        <w:widowControl/>
        <w:tabs>
          <w:tab w:val="left" w:pos="0"/>
        </w:tabs>
        <w:spacing w:line="300" w:lineRule="atLeast"/>
        <w:jc w:val="center"/>
        <w:rPr>
          <w:rFonts w:hint="default" w:ascii="Calibri" w:hAnsi="Calibri" w:cs="Calibri"/>
          <w:sz w:val="21"/>
          <w:szCs w:val="21"/>
          <w:highlight w:val="yellow"/>
          <w:lang w:val="pt-BR"/>
        </w:rPr>
      </w:pPr>
      <w:r>
        <w:rPr>
          <w:rFonts w:hint="default" w:ascii="Calibri" w:hAnsi="Calibri" w:cs="Calibri"/>
          <w:sz w:val="21"/>
          <w:szCs w:val="21"/>
          <w:lang w:val="pt-BR"/>
        </w:rPr>
        <w:t>(Assinatura  da proponente/</w:t>
      </w:r>
      <w:r>
        <w:rPr>
          <w:rFonts w:hint="default" w:ascii="Calibri" w:hAnsi="Calibri" w:cs="Calibri"/>
          <w:b/>
          <w:sz w:val="21"/>
          <w:szCs w:val="21"/>
          <w:lang w:val="pt-BR"/>
        </w:rPr>
        <w:t>r</w:t>
      </w:r>
      <w:r>
        <w:rPr>
          <w:rFonts w:hint="default" w:ascii="Calibri" w:hAnsi="Calibri" w:cs="Calibri"/>
          <w:b/>
          <w:bCs/>
          <w:iCs/>
          <w:sz w:val="21"/>
          <w:szCs w:val="21"/>
          <w:lang w:val="pt-BR"/>
        </w:rPr>
        <w:t>epresentante legal da empresa</w:t>
      </w:r>
    </w:p>
    <w:p w14:paraId="549918F1">
      <w:pPr>
        <w:pStyle w:val="131"/>
        <w:widowControl/>
        <w:tabs>
          <w:tab w:val="left" w:pos="709"/>
        </w:tabs>
        <w:spacing w:line="300" w:lineRule="atLeast"/>
        <w:ind w:left="709" w:hanging="709"/>
        <w:jc w:val="both"/>
        <w:rPr>
          <w:rFonts w:hint="default" w:ascii="Calibri" w:hAnsi="Calibri" w:cs="Calibri"/>
          <w:sz w:val="21"/>
          <w:szCs w:val="21"/>
          <w:lang w:val="pt-BR"/>
        </w:rPr>
        <w:sectPr>
          <w:pgSz w:w="16838" w:h="11905" w:orient="landscape"/>
          <w:pgMar w:top="1701" w:right="584" w:bottom="986" w:left="1134" w:header="454" w:footer="0" w:gutter="0"/>
          <w:pgBorders>
            <w:top w:val="none" w:sz="0" w:space="0"/>
            <w:left w:val="none" w:sz="0" w:space="0"/>
            <w:bottom w:val="none" w:sz="0" w:space="0"/>
            <w:right w:val="none" w:sz="0" w:space="0"/>
          </w:pgBorders>
          <w:pgNumType w:fmt="decimal"/>
          <w:cols w:space="0" w:num="1"/>
          <w:rtlGutter w:val="0"/>
          <w:docGrid w:linePitch="326" w:charSpace="0"/>
        </w:sectPr>
      </w:pPr>
    </w:p>
    <w:p w14:paraId="0D05D5BF">
      <w:pPr>
        <w:pStyle w:val="131"/>
        <w:widowControl/>
        <w:spacing w:line="300" w:lineRule="atLeast"/>
        <w:jc w:val="both"/>
        <w:rPr>
          <w:rFonts w:hint="default" w:ascii="Calibri" w:hAnsi="Calibri" w:cs="Calibri"/>
          <w:b/>
          <w:sz w:val="21"/>
          <w:szCs w:val="21"/>
          <w:highlight w:val="lightGray"/>
          <w:lang w:val="pt-BR"/>
        </w:rPr>
      </w:pPr>
    </w:p>
    <w:p w14:paraId="0B684456">
      <w:pPr>
        <w:pStyle w:val="131"/>
        <w:widowControl/>
        <w:shd w:val="clear" w:fill="F6CBD3"/>
        <w:spacing w:line="300" w:lineRule="atLeast"/>
        <w:jc w:val="both"/>
        <w:rPr>
          <w:rFonts w:hint="default" w:ascii="Calibri" w:hAnsi="Calibri" w:cs="Calibri"/>
          <w:b/>
          <w:sz w:val="21"/>
          <w:szCs w:val="21"/>
          <w:highlight w:val="none"/>
          <w:shd w:val="clear" w:color="auto" w:fill="FABF8F" w:themeFill="accent6" w:themeFillTint="99"/>
          <w:lang w:val="pt-BR"/>
        </w:rPr>
      </w:pPr>
      <w:r>
        <w:rPr>
          <w:rFonts w:hint="default" w:ascii="Calibri" w:hAnsi="Calibri" w:cs="Calibri"/>
          <w:b/>
          <w:sz w:val="21"/>
          <w:szCs w:val="21"/>
          <w:highlight w:val="none"/>
          <w:shd w:val="clear" w:color="auto"/>
          <w:lang w:val="pt-BR"/>
        </w:rPr>
        <w:t>ANEXO VIII – MODELO DE DECLARAÇÃO DE ENQUADRAMENTO EM REGIME DE TRIBUTAÇÃO DE MICRO EMPRESA OU EMPRESA DE PEQUENO PORTE (</w:t>
      </w:r>
      <w:r>
        <w:rPr>
          <w:rFonts w:hint="default" w:ascii="Calibri" w:hAnsi="Calibri" w:cs="Calibri"/>
          <w:b/>
          <w:color w:val="auto"/>
          <w:sz w:val="21"/>
          <w:szCs w:val="21"/>
          <w:highlight w:val="none"/>
          <w:shd w:val="clear" w:color="auto"/>
          <w:lang w:val="pt-BR"/>
        </w:rPr>
        <w:t>NA HIPÓTESE DE O LICITANTE SER UMA ME OU EPP)</w:t>
      </w:r>
    </w:p>
    <w:p w14:paraId="701FF921">
      <w:pPr>
        <w:autoSpaceDE w:val="0"/>
        <w:autoSpaceDN w:val="0"/>
        <w:adjustRightInd w:val="0"/>
        <w:spacing w:line="300" w:lineRule="atLeast"/>
        <w:jc w:val="both"/>
        <w:rPr>
          <w:rFonts w:hint="default" w:ascii="Calibri" w:hAnsi="Calibri" w:cs="Calibri"/>
          <w:sz w:val="21"/>
          <w:szCs w:val="21"/>
          <w:highlight w:val="cyan"/>
        </w:rPr>
      </w:pPr>
    </w:p>
    <w:p w14:paraId="27124A75">
      <w:pPr>
        <w:autoSpaceDE w:val="0"/>
        <w:autoSpaceDN w:val="0"/>
        <w:adjustRightInd w:val="0"/>
        <w:spacing w:line="300" w:lineRule="atLeast"/>
        <w:jc w:val="both"/>
        <w:rPr>
          <w:rFonts w:hint="default" w:ascii="Calibri" w:hAnsi="Calibri" w:cs="Calibri"/>
          <w:sz w:val="21"/>
          <w:szCs w:val="21"/>
          <w:highlight w:val="cyan"/>
        </w:rPr>
      </w:pPr>
    </w:p>
    <w:p w14:paraId="1BE58054">
      <w:pPr>
        <w:bidi w:val="0"/>
        <w:jc w:val="both"/>
        <w:rPr>
          <w:rFonts w:hint="default" w:ascii="Calibri" w:hAnsi="Calibri" w:cs="Calibri"/>
          <w:sz w:val="21"/>
          <w:szCs w:val="21"/>
          <w:lang w:val="pt-BR"/>
        </w:rPr>
      </w:pPr>
      <w:r>
        <w:rPr>
          <w:rFonts w:hint="default" w:ascii="Calibri" w:hAnsi="Calibri" w:cs="Calibri"/>
          <w:sz w:val="21"/>
          <w:szCs w:val="21"/>
        </w:rPr>
        <w:t>Edital [.] n°</w:t>
      </w:r>
      <w:r>
        <w:rPr>
          <w:rFonts w:hint="default" w:ascii="Calibri" w:hAnsi="Calibri" w:cs="Calibri"/>
          <w:sz w:val="21"/>
          <w:szCs w:val="21"/>
          <w:lang w:val="pt-BR"/>
        </w:rPr>
        <w:t xml:space="preserve"> 005/2024</w:t>
      </w:r>
    </w:p>
    <w:p w14:paraId="143DBA6F">
      <w:pPr>
        <w:bidi w:val="0"/>
        <w:jc w:val="both"/>
        <w:rPr>
          <w:rFonts w:hint="default" w:ascii="Calibri" w:hAnsi="Calibri" w:cs="Calibri"/>
          <w:sz w:val="21"/>
          <w:szCs w:val="21"/>
          <w:lang w:val="pt-BR"/>
        </w:rPr>
      </w:pPr>
    </w:p>
    <w:p w14:paraId="00159B97">
      <w:pPr>
        <w:bidi w:val="0"/>
        <w:jc w:val="both"/>
        <w:rPr>
          <w:rFonts w:hint="default" w:ascii="Calibri" w:hAnsi="Calibri" w:cs="Calibri"/>
          <w:sz w:val="21"/>
          <w:szCs w:val="21"/>
        </w:rPr>
      </w:pPr>
    </w:p>
    <w:p w14:paraId="5C2635EF">
      <w:pPr>
        <w:bidi w:val="0"/>
        <w:jc w:val="both"/>
        <w:rPr>
          <w:rFonts w:hint="default" w:ascii="Calibri" w:hAnsi="Calibri" w:cs="Calibri"/>
          <w:sz w:val="21"/>
          <w:szCs w:val="21"/>
        </w:rPr>
      </w:pPr>
      <w:r>
        <w:rPr>
          <w:rFonts w:hint="default" w:ascii="Calibri" w:hAnsi="Calibri" w:cs="Calibri"/>
          <w:sz w:val="21"/>
          <w:szCs w:val="21"/>
        </w:rPr>
        <w:t xml:space="preserve">          1- A LICITANTE/CONTRATADA declara, para todos  os  efeitos legais, que, no ano-calendário de realização da licitação, não celebrou contratos com a Administração Pública cujos valores somados extrapolem   a receita bruta  máxima   admitida  para fins  de enquadramento  como  empresa de pequeno  porte, para fins de  obtenção dos </w:t>
      </w:r>
      <w:r>
        <w:rPr>
          <w:rFonts w:hint="default" w:ascii="Calibri" w:hAnsi="Calibri" w:cs="Calibri"/>
          <w:sz w:val="21"/>
          <w:szCs w:val="21"/>
          <w:lang w:val="pt-BR"/>
        </w:rPr>
        <w:t>benefícios</w:t>
      </w:r>
      <w:r>
        <w:rPr>
          <w:rFonts w:hint="default" w:ascii="Calibri" w:hAnsi="Calibri" w:cs="Calibri"/>
          <w:sz w:val="21"/>
          <w:szCs w:val="21"/>
        </w:rPr>
        <w:t xml:space="preserve"> previstos dos artigos 42 a 49 da Lei Complementar n. 123/2006. </w:t>
      </w:r>
    </w:p>
    <w:p w14:paraId="7FB552F0">
      <w:pPr>
        <w:bidi w:val="0"/>
        <w:jc w:val="both"/>
        <w:rPr>
          <w:rFonts w:hint="default" w:ascii="Calibri" w:hAnsi="Calibri" w:cs="Calibri"/>
          <w:sz w:val="21"/>
          <w:szCs w:val="21"/>
        </w:rPr>
      </w:pPr>
    </w:p>
    <w:p w14:paraId="41009671">
      <w:pPr>
        <w:bidi w:val="0"/>
        <w:jc w:val="both"/>
        <w:rPr>
          <w:rFonts w:hint="default" w:ascii="Calibri" w:hAnsi="Calibri" w:cs="Calibri"/>
          <w:sz w:val="21"/>
          <w:szCs w:val="21"/>
        </w:rPr>
      </w:pPr>
      <w:r>
        <w:rPr>
          <w:rFonts w:hint="default" w:ascii="Calibri" w:hAnsi="Calibri" w:cs="Calibri"/>
          <w:sz w:val="21"/>
          <w:szCs w:val="21"/>
        </w:rPr>
        <w:t xml:space="preserve">          2- Também,  Declaro  que a empresa   , inscrita no CNPJ (MF) n.</w:t>
      </w:r>
      <w:r>
        <w:rPr>
          <w:rFonts w:hint="default" w:ascii="Calibri" w:hAnsi="Calibri" w:cs="Calibri"/>
          <w:sz w:val="21"/>
          <w:szCs w:val="21"/>
          <w:lang w:val="pt-BR"/>
        </w:rPr>
        <w:t>............</w:t>
      </w:r>
      <w:r>
        <w:rPr>
          <w:rFonts w:hint="default" w:ascii="Calibri" w:hAnsi="Calibri" w:cs="Calibri"/>
          <w:sz w:val="21"/>
          <w:szCs w:val="21"/>
        </w:rPr>
        <w:t xml:space="preserve"> , inscrição n.</w:t>
      </w:r>
      <w:r>
        <w:rPr>
          <w:rFonts w:hint="default" w:ascii="Calibri" w:hAnsi="Calibri" w:cs="Calibri"/>
          <w:sz w:val="21"/>
          <w:szCs w:val="21"/>
          <w:lang w:val="pt-BR"/>
        </w:rPr>
        <w:t>.............</w:t>
      </w:r>
      <w:r>
        <w:rPr>
          <w:rFonts w:hint="default" w:ascii="Calibri" w:hAnsi="Calibri" w:cs="Calibri"/>
          <w:sz w:val="21"/>
          <w:szCs w:val="21"/>
        </w:rPr>
        <w:t xml:space="preserve"> , estabelecida em</w:t>
      </w:r>
      <w:r>
        <w:rPr>
          <w:rFonts w:hint="default" w:ascii="Calibri" w:hAnsi="Calibri" w:cs="Calibri"/>
          <w:sz w:val="21"/>
          <w:szCs w:val="21"/>
          <w:lang w:val="pt-BR"/>
        </w:rPr>
        <w:t>........................</w:t>
      </w:r>
      <w:r>
        <w:rPr>
          <w:rFonts w:hint="default" w:ascii="Calibri" w:hAnsi="Calibri" w:cs="Calibri"/>
          <w:sz w:val="21"/>
          <w:szCs w:val="21"/>
        </w:rPr>
        <w:t xml:space="preserve"> , possui os seguintes contratos firmados com a iniciativa privada e a administração pública e que os mesmos </w:t>
      </w:r>
      <w:r>
        <w:rPr>
          <w:rFonts w:hint="default" w:ascii="Calibri" w:hAnsi="Calibri" w:cs="Calibri"/>
          <w:b/>
          <w:bCs/>
          <w:sz w:val="21"/>
          <w:szCs w:val="21"/>
        </w:rPr>
        <w:t>não  importam e</w:t>
      </w:r>
      <w:r>
        <w:rPr>
          <w:rFonts w:hint="default" w:ascii="Calibri" w:hAnsi="Calibri" w:cs="Calibri"/>
          <w:b/>
          <w:bCs/>
          <w:sz w:val="21"/>
          <w:szCs w:val="21"/>
          <w:lang w:val="pt-BR"/>
        </w:rPr>
        <w:t>m</w:t>
      </w:r>
      <w:r>
        <w:rPr>
          <w:rFonts w:hint="default" w:ascii="Calibri" w:hAnsi="Calibri" w:cs="Calibri"/>
          <w:b/>
          <w:bCs/>
          <w:sz w:val="21"/>
          <w:szCs w:val="21"/>
        </w:rPr>
        <w:t xml:space="preserve">  desenquadramento da empresa em  razão  do teto estabelecido anualmente  para  EPPs,  permanecendo condições de  usufruir  dos   benefícios</w:t>
      </w:r>
      <w:r>
        <w:rPr>
          <w:rFonts w:hint="default" w:ascii="Calibri" w:hAnsi="Calibri" w:cs="Calibri"/>
          <w:sz w:val="21"/>
          <w:szCs w:val="21"/>
        </w:rPr>
        <w:t xml:space="preserve">: </w:t>
      </w:r>
    </w:p>
    <w:p w14:paraId="668E50FA">
      <w:pPr>
        <w:pStyle w:val="131"/>
        <w:widowControl/>
        <w:tabs>
          <w:tab w:val="left" w:pos="567"/>
        </w:tabs>
        <w:spacing w:line="300" w:lineRule="atLeast"/>
        <w:ind w:left="567" w:hanging="567"/>
        <w:jc w:val="both"/>
        <w:rPr>
          <w:rFonts w:hint="default" w:ascii="Calibri" w:hAnsi="Calibri" w:cs="Calibri"/>
          <w:b/>
          <w:bCs/>
          <w:iCs/>
          <w:sz w:val="21"/>
          <w:szCs w:val="21"/>
          <w:lang w:val="pt-BR"/>
        </w:rPr>
      </w:pPr>
    </w:p>
    <w:p w14:paraId="3F250E8D">
      <w:pPr>
        <w:jc w:val="both"/>
        <w:rPr>
          <w:rFonts w:hint="default" w:ascii="Calibri" w:hAnsi="Calibri" w:cs="Calibri"/>
          <w:sz w:val="21"/>
          <w:szCs w:val="21"/>
        </w:r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2"/>
        <w:gridCol w:w="2750"/>
        <w:gridCol w:w="3314"/>
      </w:tblGrid>
      <w:tr w14:paraId="5048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2" w:type="dxa"/>
            <w:shd w:val="clear" w:color="auto" w:fill="911527"/>
            <w:noWrap w:val="0"/>
            <w:vAlign w:val="center"/>
          </w:tcPr>
          <w:p w14:paraId="7FDF1B3C">
            <w:pPr>
              <w:pStyle w:val="131"/>
              <w:widowControl/>
              <w:spacing w:line="300" w:lineRule="atLeast"/>
              <w:jc w:val="center"/>
              <w:rPr>
                <w:rFonts w:hint="default" w:ascii="Calibri" w:hAnsi="Calibri" w:cs="Calibri"/>
                <w:b/>
                <w:bCs/>
                <w:sz w:val="21"/>
                <w:szCs w:val="21"/>
                <w:vertAlign w:val="baseline"/>
                <w:lang w:val="pt-BR"/>
              </w:rPr>
            </w:pPr>
            <w:r>
              <w:rPr>
                <w:rFonts w:hint="default" w:ascii="Calibri" w:hAnsi="Calibri" w:cs="Calibri"/>
                <w:b/>
                <w:bCs/>
                <w:sz w:val="21"/>
                <w:szCs w:val="21"/>
                <w:vertAlign w:val="baseline"/>
                <w:lang w:val="pt-BR"/>
              </w:rPr>
              <w:t>CONTRATANTE</w:t>
            </w:r>
          </w:p>
        </w:tc>
        <w:tc>
          <w:tcPr>
            <w:tcW w:w="2750" w:type="dxa"/>
            <w:shd w:val="clear" w:color="auto" w:fill="911527"/>
            <w:noWrap w:val="0"/>
            <w:vAlign w:val="center"/>
          </w:tcPr>
          <w:p w14:paraId="71E9E907">
            <w:pPr>
              <w:pStyle w:val="131"/>
              <w:widowControl/>
              <w:spacing w:line="300" w:lineRule="atLeast"/>
              <w:jc w:val="center"/>
              <w:rPr>
                <w:rFonts w:hint="default" w:ascii="Calibri" w:hAnsi="Calibri" w:cs="Calibri"/>
                <w:b/>
                <w:bCs/>
                <w:sz w:val="21"/>
                <w:szCs w:val="21"/>
                <w:vertAlign w:val="baseline"/>
                <w:lang w:val="pt-BR"/>
              </w:rPr>
            </w:pPr>
            <w:r>
              <w:rPr>
                <w:rFonts w:hint="default" w:ascii="Calibri" w:hAnsi="Calibri" w:cs="Calibri"/>
                <w:b/>
                <w:bCs/>
                <w:sz w:val="21"/>
                <w:szCs w:val="21"/>
                <w:vertAlign w:val="baseline"/>
                <w:lang w:val="pt-BR"/>
              </w:rPr>
              <w:t>PRAZO</w:t>
            </w:r>
          </w:p>
        </w:tc>
        <w:tc>
          <w:tcPr>
            <w:tcW w:w="3314" w:type="dxa"/>
            <w:shd w:val="clear" w:color="auto" w:fill="911527"/>
            <w:noWrap w:val="0"/>
            <w:vAlign w:val="center"/>
          </w:tcPr>
          <w:p w14:paraId="5F6C21D2">
            <w:pPr>
              <w:pStyle w:val="131"/>
              <w:widowControl/>
              <w:spacing w:line="300" w:lineRule="atLeast"/>
              <w:jc w:val="center"/>
              <w:rPr>
                <w:rFonts w:hint="default" w:ascii="Calibri" w:hAnsi="Calibri" w:cs="Calibri"/>
                <w:b/>
                <w:bCs/>
                <w:sz w:val="21"/>
                <w:szCs w:val="21"/>
                <w:vertAlign w:val="baseline"/>
                <w:lang w:val="pt-BR"/>
              </w:rPr>
            </w:pPr>
            <w:r>
              <w:rPr>
                <w:rFonts w:hint="default" w:ascii="Calibri" w:hAnsi="Calibri" w:cs="Calibri"/>
                <w:b/>
                <w:bCs/>
                <w:sz w:val="21"/>
                <w:szCs w:val="21"/>
                <w:vertAlign w:val="baseline"/>
                <w:lang w:val="pt-BR"/>
              </w:rPr>
              <w:t>VALOR PROPORCIONAL AO ANO</w:t>
            </w:r>
          </w:p>
        </w:tc>
      </w:tr>
      <w:tr w14:paraId="09E3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2" w:type="dxa"/>
            <w:noWrap w:val="0"/>
            <w:vAlign w:val="top"/>
          </w:tcPr>
          <w:p w14:paraId="727A0601">
            <w:pPr>
              <w:pStyle w:val="131"/>
              <w:widowControl/>
              <w:spacing w:line="300" w:lineRule="atLeast"/>
              <w:jc w:val="center"/>
              <w:rPr>
                <w:rFonts w:hint="default" w:ascii="Calibri" w:hAnsi="Calibri" w:cs="Calibri"/>
                <w:sz w:val="21"/>
                <w:szCs w:val="21"/>
                <w:vertAlign w:val="baseline"/>
                <w:lang w:val="pt-BR"/>
              </w:rPr>
            </w:pPr>
          </w:p>
        </w:tc>
        <w:tc>
          <w:tcPr>
            <w:tcW w:w="2750" w:type="dxa"/>
            <w:noWrap w:val="0"/>
            <w:vAlign w:val="top"/>
          </w:tcPr>
          <w:p w14:paraId="17B813F1">
            <w:pPr>
              <w:pStyle w:val="131"/>
              <w:widowControl/>
              <w:spacing w:line="300" w:lineRule="atLeast"/>
              <w:jc w:val="center"/>
              <w:rPr>
                <w:rFonts w:hint="default" w:ascii="Calibri" w:hAnsi="Calibri" w:cs="Calibri"/>
                <w:sz w:val="21"/>
                <w:szCs w:val="21"/>
                <w:vertAlign w:val="baseline"/>
                <w:lang w:val="pt-BR"/>
              </w:rPr>
            </w:pPr>
          </w:p>
        </w:tc>
        <w:tc>
          <w:tcPr>
            <w:tcW w:w="3314" w:type="dxa"/>
            <w:noWrap w:val="0"/>
            <w:vAlign w:val="top"/>
          </w:tcPr>
          <w:p w14:paraId="373C626C">
            <w:pPr>
              <w:pStyle w:val="131"/>
              <w:widowControl/>
              <w:spacing w:line="300" w:lineRule="atLeast"/>
              <w:jc w:val="center"/>
              <w:rPr>
                <w:rFonts w:hint="default" w:ascii="Calibri" w:hAnsi="Calibri" w:cs="Calibri"/>
                <w:sz w:val="21"/>
                <w:szCs w:val="21"/>
                <w:vertAlign w:val="baseline"/>
                <w:lang w:val="pt-BR"/>
              </w:rPr>
            </w:pPr>
          </w:p>
        </w:tc>
      </w:tr>
      <w:tr w14:paraId="0E9C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2" w:type="dxa"/>
            <w:noWrap w:val="0"/>
            <w:vAlign w:val="top"/>
          </w:tcPr>
          <w:p w14:paraId="7D962E2D">
            <w:pPr>
              <w:pStyle w:val="131"/>
              <w:widowControl/>
              <w:spacing w:line="300" w:lineRule="atLeast"/>
              <w:jc w:val="center"/>
              <w:rPr>
                <w:rFonts w:hint="default" w:ascii="Calibri" w:hAnsi="Calibri" w:cs="Calibri"/>
                <w:sz w:val="21"/>
                <w:szCs w:val="21"/>
                <w:vertAlign w:val="baseline"/>
                <w:lang w:val="pt-BR"/>
              </w:rPr>
            </w:pPr>
          </w:p>
        </w:tc>
        <w:tc>
          <w:tcPr>
            <w:tcW w:w="2750" w:type="dxa"/>
            <w:noWrap w:val="0"/>
            <w:vAlign w:val="top"/>
          </w:tcPr>
          <w:p w14:paraId="7681EC0A">
            <w:pPr>
              <w:pStyle w:val="131"/>
              <w:widowControl/>
              <w:spacing w:line="300" w:lineRule="atLeast"/>
              <w:jc w:val="center"/>
              <w:rPr>
                <w:rFonts w:hint="default" w:ascii="Calibri" w:hAnsi="Calibri" w:cs="Calibri"/>
                <w:sz w:val="21"/>
                <w:szCs w:val="21"/>
                <w:vertAlign w:val="baseline"/>
                <w:lang w:val="pt-BR"/>
              </w:rPr>
            </w:pPr>
          </w:p>
        </w:tc>
        <w:tc>
          <w:tcPr>
            <w:tcW w:w="3314" w:type="dxa"/>
            <w:noWrap w:val="0"/>
            <w:vAlign w:val="top"/>
          </w:tcPr>
          <w:p w14:paraId="2B118980">
            <w:pPr>
              <w:pStyle w:val="131"/>
              <w:widowControl/>
              <w:spacing w:line="300" w:lineRule="atLeast"/>
              <w:jc w:val="center"/>
              <w:rPr>
                <w:rFonts w:hint="default" w:ascii="Calibri" w:hAnsi="Calibri" w:cs="Calibri"/>
                <w:sz w:val="21"/>
                <w:szCs w:val="21"/>
                <w:vertAlign w:val="baseline"/>
                <w:lang w:val="pt-BR"/>
              </w:rPr>
            </w:pPr>
          </w:p>
        </w:tc>
      </w:tr>
      <w:tr w14:paraId="4CA7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2" w:type="dxa"/>
            <w:noWrap w:val="0"/>
            <w:vAlign w:val="top"/>
          </w:tcPr>
          <w:p w14:paraId="525C2E5B">
            <w:pPr>
              <w:pStyle w:val="131"/>
              <w:widowControl/>
              <w:spacing w:line="300" w:lineRule="atLeast"/>
              <w:jc w:val="center"/>
              <w:rPr>
                <w:rFonts w:hint="default" w:ascii="Calibri" w:hAnsi="Calibri" w:cs="Calibri"/>
                <w:sz w:val="21"/>
                <w:szCs w:val="21"/>
                <w:vertAlign w:val="baseline"/>
                <w:lang w:val="pt-BR"/>
              </w:rPr>
            </w:pPr>
          </w:p>
        </w:tc>
        <w:tc>
          <w:tcPr>
            <w:tcW w:w="2750" w:type="dxa"/>
            <w:noWrap w:val="0"/>
            <w:vAlign w:val="top"/>
          </w:tcPr>
          <w:p w14:paraId="4B89336E">
            <w:pPr>
              <w:pStyle w:val="131"/>
              <w:widowControl/>
              <w:spacing w:line="300" w:lineRule="atLeast"/>
              <w:jc w:val="center"/>
              <w:rPr>
                <w:rFonts w:hint="default" w:ascii="Calibri" w:hAnsi="Calibri" w:cs="Calibri"/>
                <w:sz w:val="21"/>
                <w:szCs w:val="21"/>
                <w:vertAlign w:val="baseline"/>
                <w:lang w:val="pt-BR"/>
              </w:rPr>
            </w:pPr>
          </w:p>
        </w:tc>
        <w:tc>
          <w:tcPr>
            <w:tcW w:w="3314" w:type="dxa"/>
            <w:noWrap w:val="0"/>
            <w:vAlign w:val="top"/>
          </w:tcPr>
          <w:p w14:paraId="193A2732">
            <w:pPr>
              <w:pStyle w:val="131"/>
              <w:widowControl/>
              <w:spacing w:line="300" w:lineRule="atLeast"/>
              <w:jc w:val="center"/>
              <w:rPr>
                <w:rFonts w:hint="default" w:ascii="Calibri" w:hAnsi="Calibri" w:cs="Calibri"/>
                <w:sz w:val="21"/>
                <w:szCs w:val="21"/>
                <w:vertAlign w:val="baseline"/>
                <w:lang w:val="pt-BR"/>
              </w:rPr>
            </w:pPr>
          </w:p>
        </w:tc>
      </w:tr>
      <w:tr w14:paraId="616F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2" w:type="dxa"/>
            <w:noWrap w:val="0"/>
            <w:vAlign w:val="top"/>
          </w:tcPr>
          <w:p w14:paraId="5E883119">
            <w:pPr>
              <w:pStyle w:val="131"/>
              <w:widowControl/>
              <w:spacing w:line="300" w:lineRule="atLeast"/>
              <w:jc w:val="center"/>
              <w:rPr>
                <w:rFonts w:hint="default" w:ascii="Calibri" w:hAnsi="Calibri" w:cs="Calibri"/>
                <w:sz w:val="21"/>
                <w:szCs w:val="21"/>
                <w:vertAlign w:val="baseline"/>
                <w:lang w:val="pt-BR"/>
              </w:rPr>
            </w:pPr>
          </w:p>
        </w:tc>
        <w:tc>
          <w:tcPr>
            <w:tcW w:w="2750" w:type="dxa"/>
            <w:noWrap w:val="0"/>
            <w:vAlign w:val="top"/>
          </w:tcPr>
          <w:p w14:paraId="7D147519">
            <w:pPr>
              <w:pStyle w:val="131"/>
              <w:widowControl/>
              <w:spacing w:line="300" w:lineRule="atLeast"/>
              <w:jc w:val="center"/>
              <w:rPr>
                <w:rFonts w:hint="default" w:ascii="Calibri" w:hAnsi="Calibri" w:cs="Calibri"/>
                <w:sz w:val="21"/>
                <w:szCs w:val="21"/>
                <w:vertAlign w:val="baseline"/>
                <w:lang w:val="pt-BR"/>
              </w:rPr>
            </w:pPr>
          </w:p>
        </w:tc>
        <w:tc>
          <w:tcPr>
            <w:tcW w:w="3314" w:type="dxa"/>
            <w:noWrap w:val="0"/>
            <w:vAlign w:val="top"/>
          </w:tcPr>
          <w:p w14:paraId="2398EEE2">
            <w:pPr>
              <w:pStyle w:val="131"/>
              <w:widowControl/>
              <w:spacing w:line="300" w:lineRule="atLeast"/>
              <w:jc w:val="center"/>
              <w:rPr>
                <w:rFonts w:hint="default" w:ascii="Calibri" w:hAnsi="Calibri" w:cs="Calibri"/>
                <w:sz w:val="21"/>
                <w:szCs w:val="21"/>
                <w:vertAlign w:val="baseline"/>
                <w:lang w:val="pt-BR"/>
              </w:rPr>
            </w:pPr>
          </w:p>
        </w:tc>
      </w:tr>
      <w:tr w14:paraId="4E83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2" w:type="dxa"/>
            <w:noWrap w:val="0"/>
            <w:vAlign w:val="top"/>
          </w:tcPr>
          <w:p w14:paraId="15D1B5C1">
            <w:pPr>
              <w:pStyle w:val="131"/>
              <w:widowControl/>
              <w:spacing w:line="300" w:lineRule="atLeast"/>
              <w:jc w:val="center"/>
              <w:rPr>
                <w:rFonts w:hint="default" w:ascii="Calibri" w:hAnsi="Calibri" w:cs="Calibri"/>
                <w:sz w:val="21"/>
                <w:szCs w:val="21"/>
                <w:vertAlign w:val="baseline"/>
                <w:lang w:val="pt-BR"/>
              </w:rPr>
            </w:pPr>
          </w:p>
        </w:tc>
        <w:tc>
          <w:tcPr>
            <w:tcW w:w="2750" w:type="dxa"/>
            <w:noWrap w:val="0"/>
            <w:vAlign w:val="top"/>
          </w:tcPr>
          <w:p w14:paraId="5842CAF7">
            <w:pPr>
              <w:pStyle w:val="131"/>
              <w:widowControl/>
              <w:spacing w:line="300" w:lineRule="atLeast"/>
              <w:jc w:val="center"/>
              <w:rPr>
                <w:rFonts w:hint="default" w:ascii="Calibri" w:hAnsi="Calibri" w:cs="Calibri"/>
                <w:sz w:val="21"/>
                <w:szCs w:val="21"/>
                <w:vertAlign w:val="baseline"/>
                <w:lang w:val="pt-BR"/>
              </w:rPr>
            </w:pPr>
          </w:p>
        </w:tc>
        <w:tc>
          <w:tcPr>
            <w:tcW w:w="3314" w:type="dxa"/>
            <w:noWrap w:val="0"/>
            <w:vAlign w:val="top"/>
          </w:tcPr>
          <w:p w14:paraId="03B3C3CD">
            <w:pPr>
              <w:pStyle w:val="131"/>
              <w:widowControl/>
              <w:spacing w:line="300" w:lineRule="atLeast"/>
              <w:jc w:val="center"/>
              <w:rPr>
                <w:rFonts w:hint="default" w:ascii="Calibri" w:hAnsi="Calibri" w:cs="Calibri"/>
                <w:sz w:val="21"/>
                <w:szCs w:val="21"/>
                <w:vertAlign w:val="baseline"/>
                <w:lang w:val="pt-BR"/>
              </w:rPr>
            </w:pPr>
          </w:p>
        </w:tc>
      </w:tr>
      <w:tr w14:paraId="11A4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2" w:type="dxa"/>
            <w:noWrap w:val="0"/>
            <w:vAlign w:val="top"/>
          </w:tcPr>
          <w:p w14:paraId="3B3AD715">
            <w:pPr>
              <w:pStyle w:val="131"/>
              <w:widowControl/>
              <w:spacing w:line="300" w:lineRule="atLeast"/>
              <w:jc w:val="center"/>
              <w:rPr>
                <w:rFonts w:hint="default" w:ascii="Calibri" w:hAnsi="Calibri" w:cs="Calibri"/>
                <w:sz w:val="21"/>
                <w:szCs w:val="21"/>
                <w:vertAlign w:val="baseline"/>
                <w:lang w:val="pt-BR"/>
              </w:rPr>
            </w:pPr>
          </w:p>
        </w:tc>
        <w:tc>
          <w:tcPr>
            <w:tcW w:w="2750" w:type="dxa"/>
            <w:noWrap w:val="0"/>
            <w:vAlign w:val="top"/>
          </w:tcPr>
          <w:p w14:paraId="7A7E75F8">
            <w:pPr>
              <w:pStyle w:val="131"/>
              <w:widowControl/>
              <w:spacing w:line="300" w:lineRule="atLeast"/>
              <w:jc w:val="center"/>
              <w:rPr>
                <w:rFonts w:hint="default" w:ascii="Calibri" w:hAnsi="Calibri" w:cs="Calibri"/>
                <w:sz w:val="21"/>
                <w:szCs w:val="21"/>
                <w:vertAlign w:val="baseline"/>
                <w:lang w:val="pt-BR"/>
              </w:rPr>
            </w:pPr>
          </w:p>
        </w:tc>
        <w:tc>
          <w:tcPr>
            <w:tcW w:w="3314" w:type="dxa"/>
            <w:noWrap w:val="0"/>
            <w:vAlign w:val="top"/>
          </w:tcPr>
          <w:p w14:paraId="6AB7D803">
            <w:pPr>
              <w:pStyle w:val="131"/>
              <w:widowControl/>
              <w:spacing w:line="300" w:lineRule="atLeast"/>
              <w:jc w:val="center"/>
              <w:rPr>
                <w:rFonts w:hint="default" w:ascii="Calibri" w:hAnsi="Calibri" w:cs="Calibri"/>
                <w:sz w:val="21"/>
                <w:szCs w:val="21"/>
                <w:vertAlign w:val="baseline"/>
                <w:lang w:val="pt-BR"/>
              </w:rPr>
            </w:pPr>
          </w:p>
        </w:tc>
      </w:tr>
      <w:tr w14:paraId="4953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2" w:type="dxa"/>
            <w:noWrap w:val="0"/>
            <w:vAlign w:val="top"/>
          </w:tcPr>
          <w:p w14:paraId="32B9759E">
            <w:pPr>
              <w:pStyle w:val="131"/>
              <w:widowControl/>
              <w:spacing w:line="300" w:lineRule="atLeast"/>
              <w:jc w:val="center"/>
              <w:rPr>
                <w:rFonts w:hint="default" w:ascii="Calibri" w:hAnsi="Calibri" w:cs="Calibri"/>
                <w:sz w:val="21"/>
                <w:szCs w:val="21"/>
                <w:vertAlign w:val="baseline"/>
                <w:lang w:val="pt-BR"/>
              </w:rPr>
            </w:pPr>
          </w:p>
        </w:tc>
        <w:tc>
          <w:tcPr>
            <w:tcW w:w="2750" w:type="dxa"/>
            <w:noWrap w:val="0"/>
            <w:vAlign w:val="top"/>
          </w:tcPr>
          <w:p w14:paraId="39786811">
            <w:pPr>
              <w:pStyle w:val="131"/>
              <w:widowControl/>
              <w:spacing w:line="300" w:lineRule="atLeast"/>
              <w:jc w:val="center"/>
              <w:rPr>
                <w:rFonts w:hint="default" w:ascii="Calibri" w:hAnsi="Calibri" w:cs="Calibri"/>
                <w:sz w:val="21"/>
                <w:szCs w:val="21"/>
                <w:vertAlign w:val="baseline"/>
                <w:lang w:val="pt-BR"/>
              </w:rPr>
            </w:pPr>
          </w:p>
        </w:tc>
        <w:tc>
          <w:tcPr>
            <w:tcW w:w="3314" w:type="dxa"/>
            <w:noWrap w:val="0"/>
            <w:vAlign w:val="top"/>
          </w:tcPr>
          <w:p w14:paraId="09411535">
            <w:pPr>
              <w:pStyle w:val="131"/>
              <w:widowControl/>
              <w:spacing w:line="300" w:lineRule="atLeast"/>
              <w:jc w:val="center"/>
              <w:rPr>
                <w:rFonts w:hint="default" w:ascii="Calibri" w:hAnsi="Calibri" w:cs="Calibri"/>
                <w:sz w:val="21"/>
                <w:szCs w:val="21"/>
                <w:vertAlign w:val="baseline"/>
                <w:lang w:val="pt-BR"/>
              </w:rPr>
            </w:pPr>
          </w:p>
        </w:tc>
      </w:tr>
      <w:tr w14:paraId="2723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2" w:type="dxa"/>
            <w:noWrap w:val="0"/>
            <w:vAlign w:val="top"/>
          </w:tcPr>
          <w:p w14:paraId="3CBB3ED2">
            <w:pPr>
              <w:pStyle w:val="131"/>
              <w:widowControl/>
              <w:spacing w:line="300" w:lineRule="atLeast"/>
              <w:jc w:val="center"/>
              <w:rPr>
                <w:rFonts w:hint="default" w:ascii="Calibri" w:hAnsi="Calibri" w:cs="Calibri"/>
                <w:sz w:val="21"/>
                <w:szCs w:val="21"/>
                <w:vertAlign w:val="baseline"/>
                <w:lang w:val="pt-BR"/>
              </w:rPr>
            </w:pPr>
          </w:p>
        </w:tc>
        <w:tc>
          <w:tcPr>
            <w:tcW w:w="2750" w:type="dxa"/>
            <w:noWrap w:val="0"/>
            <w:vAlign w:val="top"/>
          </w:tcPr>
          <w:p w14:paraId="74E9B5C8">
            <w:pPr>
              <w:pStyle w:val="131"/>
              <w:widowControl/>
              <w:spacing w:line="300" w:lineRule="atLeast"/>
              <w:jc w:val="center"/>
              <w:rPr>
                <w:rFonts w:hint="default" w:ascii="Calibri" w:hAnsi="Calibri" w:cs="Calibri"/>
                <w:sz w:val="21"/>
                <w:szCs w:val="21"/>
                <w:vertAlign w:val="baseline"/>
                <w:lang w:val="pt-BR"/>
              </w:rPr>
            </w:pPr>
          </w:p>
        </w:tc>
        <w:tc>
          <w:tcPr>
            <w:tcW w:w="3314" w:type="dxa"/>
            <w:noWrap w:val="0"/>
            <w:vAlign w:val="top"/>
          </w:tcPr>
          <w:p w14:paraId="62811DE7">
            <w:pPr>
              <w:pStyle w:val="131"/>
              <w:widowControl/>
              <w:spacing w:line="300" w:lineRule="atLeast"/>
              <w:jc w:val="center"/>
              <w:rPr>
                <w:rFonts w:hint="default" w:ascii="Calibri" w:hAnsi="Calibri" w:cs="Calibri"/>
                <w:sz w:val="21"/>
                <w:szCs w:val="21"/>
                <w:vertAlign w:val="baseline"/>
                <w:lang w:val="pt-BR"/>
              </w:rPr>
            </w:pPr>
          </w:p>
        </w:tc>
      </w:tr>
      <w:tr w14:paraId="5068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2" w:type="dxa"/>
            <w:noWrap w:val="0"/>
            <w:vAlign w:val="top"/>
          </w:tcPr>
          <w:p w14:paraId="7C1B415E">
            <w:pPr>
              <w:pStyle w:val="131"/>
              <w:widowControl/>
              <w:spacing w:line="300" w:lineRule="atLeast"/>
              <w:jc w:val="center"/>
              <w:rPr>
                <w:rFonts w:hint="default" w:ascii="Calibri" w:hAnsi="Calibri" w:cs="Calibri"/>
                <w:sz w:val="21"/>
                <w:szCs w:val="21"/>
                <w:vertAlign w:val="baseline"/>
                <w:lang w:val="pt-BR"/>
              </w:rPr>
            </w:pPr>
          </w:p>
        </w:tc>
        <w:tc>
          <w:tcPr>
            <w:tcW w:w="2750" w:type="dxa"/>
            <w:noWrap w:val="0"/>
            <w:vAlign w:val="top"/>
          </w:tcPr>
          <w:p w14:paraId="4EFE0B41">
            <w:pPr>
              <w:pStyle w:val="131"/>
              <w:widowControl/>
              <w:spacing w:line="300" w:lineRule="atLeast"/>
              <w:jc w:val="center"/>
              <w:rPr>
                <w:rFonts w:hint="default" w:ascii="Calibri" w:hAnsi="Calibri" w:cs="Calibri"/>
                <w:sz w:val="21"/>
                <w:szCs w:val="21"/>
                <w:vertAlign w:val="baseline"/>
                <w:lang w:val="pt-BR"/>
              </w:rPr>
            </w:pPr>
          </w:p>
        </w:tc>
        <w:tc>
          <w:tcPr>
            <w:tcW w:w="3314" w:type="dxa"/>
            <w:noWrap w:val="0"/>
            <w:vAlign w:val="top"/>
          </w:tcPr>
          <w:p w14:paraId="12B79EAA">
            <w:pPr>
              <w:pStyle w:val="131"/>
              <w:widowControl/>
              <w:spacing w:line="300" w:lineRule="atLeast"/>
              <w:jc w:val="center"/>
              <w:rPr>
                <w:rFonts w:hint="default" w:ascii="Calibri" w:hAnsi="Calibri" w:cs="Calibri"/>
                <w:sz w:val="21"/>
                <w:szCs w:val="21"/>
                <w:vertAlign w:val="baseline"/>
                <w:lang w:val="pt-BR"/>
              </w:rPr>
            </w:pPr>
          </w:p>
        </w:tc>
      </w:tr>
      <w:tr w14:paraId="3B33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2" w:type="dxa"/>
            <w:noWrap w:val="0"/>
            <w:vAlign w:val="top"/>
          </w:tcPr>
          <w:p w14:paraId="0BDDCE53">
            <w:pPr>
              <w:pStyle w:val="131"/>
              <w:widowControl/>
              <w:spacing w:line="300" w:lineRule="atLeast"/>
              <w:jc w:val="center"/>
              <w:rPr>
                <w:rFonts w:hint="default" w:ascii="Calibri" w:hAnsi="Calibri" w:cs="Calibri"/>
                <w:sz w:val="21"/>
                <w:szCs w:val="21"/>
                <w:vertAlign w:val="baseline"/>
                <w:lang w:val="pt-BR"/>
              </w:rPr>
            </w:pPr>
          </w:p>
        </w:tc>
        <w:tc>
          <w:tcPr>
            <w:tcW w:w="2750" w:type="dxa"/>
            <w:noWrap w:val="0"/>
            <w:vAlign w:val="top"/>
          </w:tcPr>
          <w:p w14:paraId="5A10FBCC">
            <w:pPr>
              <w:pStyle w:val="131"/>
              <w:widowControl/>
              <w:spacing w:line="300" w:lineRule="atLeast"/>
              <w:jc w:val="center"/>
              <w:rPr>
                <w:rFonts w:hint="default" w:ascii="Calibri" w:hAnsi="Calibri" w:cs="Calibri"/>
                <w:sz w:val="21"/>
                <w:szCs w:val="21"/>
                <w:vertAlign w:val="baseline"/>
                <w:lang w:val="pt-BR"/>
              </w:rPr>
            </w:pPr>
          </w:p>
        </w:tc>
        <w:tc>
          <w:tcPr>
            <w:tcW w:w="3314" w:type="dxa"/>
            <w:noWrap w:val="0"/>
            <w:vAlign w:val="top"/>
          </w:tcPr>
          <w:p w14:paraId="02B433B5">
            <w:pPr>
              <w:pStyle w:val="131"/>
              <w:widowControl/>
              <w:spacing w:line="300" w:lineRule="atLeast"/>
              <w:jc w:val="center"/>
              <w:rPr>
                <w:rFonts w:hint="default" w:ascii="Calibri" w:hAnsi="Calibri" w:cs="Calibri"/>
                <w:sz w:val="21"/>
                <w:szCs w:val="21"/>
                <w:vertAlign w:val="baseline"/>
                <w:lang w:val="pt-BR"/>
              </w:rPr>
            </w:pPr>
          </w:p>
        </w:tc>
      </w:tr>
      <w:tr w14:paraId="7350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2" w:type="dxa"/>
            <w:noWrap w:val="0"/>
            <w:vAlign w:val="top"/>
          </w:tcPr>
          <w:p w14:paraId="3E7E0C7C">
            <w:pPr>
              <w:pStyle w:val="131"/>
              <w:widowControl/>
              <w:spacing w:line="300" w:lineRule="atLeast"/>
              <w:jc w:val="center"/>
              <w:rPr>
                <w:rFonts w:hint="default" w:ascii="Calibri" w:hAnsi="Calibri" w:cs="Calibri"/>
                <w:sz w:val="21"/>
                <w:szCs w:val="21"/>
                <w:vertAlign w:val="baseline"/>
                <w:lang w:val="pt-BR"/>
              </w:rPr>
            </w:pPr>
          </w:p>
        </w:tc>
        <w:tc>
          <w:tcPr>
            <w:tcW w:w="2750" w:type="dxa"/>
            <w:noWrap w:val="0"/>
            <w:vAlign w:val="top"/>
          </w:tcPr>
          <w:p w14:paraId="1DD2DEA0">
            <w:pPr>
              <w:pStyle w:val="131"/>
              <w:widowControl/>
              <w:spacing w:line="300" w:lineRule="atLeast"/>
              <w:jc w:val="center"/>
              <w:rPr>
                <w:rFonts w:hint="default" w:ascii="Calibri" w:hAnsi="Calibri" w:cs="Calibri"/>
                <w:sz w:val="21"/>
                <w:szCs w:val="21"/>
                <w:vertAlign w:val="baseline"/>
                <w:lang w:val="pt-BR"/>
              </w:rPr>
            </w:pPr>
          </w:p>
        </w:tc>
        <w:tc>
          <w:tcPr>
            <w:tcW w:w="3314" w:type="dxa"/>
            <w:noWrap w:val="0"/>
            <w:vAlign w:val="top"/>
          </w:tcPr>
          <w:p w14:paraId="0146D2DF">
            <w:pPr>
              <w:pStyle w:val="131"/>
              <w:widowControl/>
              <w:spacing w:line="300" w:lineRule="atLeast"/>
              <w:jc w:val="center"/>
              <w:rPr>
                <w:rFonts w:hint="default" w:ascii="Calibri" w:hAnsi="Calibri" w:cs="Calibri"/>
                <w:sz w:val="21"/>
                <w:szCs w:val="21"/>
                <w:vertAlign w:val="baseline"/>
                <w:lang w:val="pt-BR"/>
              </w:rPr>
            </w:pPr>
          </w:p>
        </w:tc>
      </w:tr>
      <w:tr w14:paraId="553A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2" w:type="dxa"/>
            <w:gridSpan w:val="2"/>
            <w:shd w:val="clear" w:color="auto" w:fill="911527"/>
            <w:noWrap w:val="0"/>
            <w:vAlign w:val="top"/>
          </w:tcPr>
          <w:p w14:paraId="62DAF1FD">
            <w:pPr>
              <w:pStyle w:val="131"/>
              <w:widowControl/>
              <w:spacing w:line="300" w:lineRule="atLeast"/>
              <w:jc w:val="center"/>
              <w:rPr>
                <w:rFonts w:hint="default" w:ascii="Calibri" w:hAnsi="Calibri" w:cs="Calibri"/>
                <w:b/>
                <w:bCs/>
                <w:sz w:val="21"/>
                <w:szCs w:val="21"/>
                <w:vertAlign w:val="baseline"/>
                <w:lang w:val="pt-BR"/>
              </w:rPr>
            </w:pPr>
            <w:r>
              <w:rPr>
                <w:rFonts w:hint="default" w:ascii="Calibri" w:hAnsi="Calibri" w:cs="Calibri"/>
                <w:b/>
                <w:bCs/>
                <w:sz w:val="21"/>
                <w:szCs w:val="21"/>
                <w:vertAlign w:val="baseline"/>
                <w:lang w:val="pt-BR"/>
              </w:rPr>
              <w:t>Valor Total</w:t>
            </w:r>
          </w:p>
        </w:tc>
        <w:tc>
          <w:tcPr>
            <w:tcW w:w="3314" w:type="dxa"/>
            <w:shd w:val="clear" w:color="auto" w:fill="911527"/>
            <w:noWrap w:val="0"/>
            <w:vAlign w:val="top"/>
          </w:tcPr>
          <w:p w14:paraId="30266A00">
            <w:pPr>
              <w:pStyle w:val="131"/>
              <w:widowControl/>
              <w:spacing w:line="300" w:lineRule="atLeast"/>
              <w:jc w:val="center"/>
              <w:rPr>
                <w:rFonts w:hint="default" w:ascii="Calibri" w:hAnsi="Calibri" w:cs="Calibri"/>
                <w:sz w:val="21"/>
                <w:szCs w:val="21"/>
                <w:vertAlign w:val="baseline"/>
                <w:lang w:val="pt-BR"/>
              </w:rPr>
            </w:pPr>
          </w:p>
        </w:tc>
      </w:tr>
      <w:tr w14:paraId="309D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82" w:type="dxa"/>
            <w:gridSpan w:val="2"/>
            <w:shd w:val="clear" w:color="auto" w:fill="911527"/>
            <w:noWrap w:val="0"/>
            <w:vAlign w:val="top"/>
          </w:tcPr>
          <w:p w14:paraId="3CBF6DA3">
            <w:pPr>
              <w:pStyle w:val="131"/>
              <w:widowControl/>
              <w:spacing w:line="300" w:lineRule="atLeast"/>
              <w:jc w:val="center"/>
              <w:rPr>
                <w:rFonts w:hint="default" w:ascii="Calibri" w:hAnsi="Calibri" w:cs="Calibri"/>
                <w:b/>
                <w:bCs/>
                <w:sz w:val="21"/>
                <w:szCs w:val="21"/>
                <w:vertAlign w:val="baseline"/>
                <w:lang w:val="pt-BR"/>
              </w:rPr>
            </w:pPr>
            <w:r>
              <w:rPr>
                <w:rFonts w:hint="default" w:ascii="Calibri" w:hAnsi="Calibri" w:cs="Calibri"/>
                <w:b/>
                <w:bCs/>
                <w:sz w:val="21"/>
                <w:szCs w:val="21"/>
                <w:vertAlign w:val="baseline"/>
                <w:lang w:val="pt-BR"/>
              </w:rPr>
              <w:t>Teto de enquadramento como ME/ EPP</w:t>
            </w:r>
          </w:p>
        </w:tc>
        <w:tc>
          <w:tcPr>
            <w:tcW w:w="3314" w:type="dxa"/>
            <w:shd w:val="clear" w:color="auto" w:fill="911527"/>
            <w:noWrap w:val="0"/>
            <w:vAlign w:val="top"/>
          </w:tcPr>
          <w:p w14:paraId="39F686FC">
            <w:pPr>
              <w:pStyle w:val="131"/>
              <w:widowControl/>
              <w:spacing w:line="300" w:lineRule="atLeast"/>
              <w:jc w:val="center"/>
              <w:rPr>
                <w:rFonts w:hint="default" w:ascii="Calibri" w:hAnsi="Calibri" w:cs="Calibri"/>
                <w:sz w:val="21"/>
                <w:szCs w:val="21"/>
                <w:vertAlign w:val="baseline"/>
                <w:lang w:val="pt-BR"/>
              </w:rPr>
            </w:pPr>
          </w:p>
        </w:tc>
      </w:tr>
    </w:tbl>
    <w:p w14:paraId="053ADCAE">
      <w:pPr>
        <w:pStyle w:val="131"/>
        <w:widowControl/>
        <w:spacing w:line="300" w:lineRule="atLeast"/>
        <w:jc w:val="center"/>
        <w:rPr>
          <w:rFonts w:hint="default" w:ascii="Calibri" w:hAnsi="Calibri" w:cs="Calibri"/>
          <w:sz w:val="21"/>
          <w:szCs w:val="21"/>
          <w:lang w:val="pt-BR"/>
        </w:rPr>
      </w:pPr>
    </w:p>
    <w:p w14:paraId="04639092">
      <w:pPr>
        <w:pStyle w:val="131"/>
        <w:widowControl/>
        <w:spacing w:line="300" w:lineRule="atLeast"/>
        <w:jc w:val="center"/>
        <w:rPr>
          <w:rFonts w:hint="default" w:ascii="Calibri" w:hAnsi="Calibri" w:cs="Calibri"/>
          <w:sz w:val="21"/>
          <w:szCs w:val="21"/>
          <w:lang w:val="pt-BR"/>
        </w:rPr>
      </w:pPr>
    </w:p>
    <w:p w14:paraId="7F8591BC">
      <w:pPr>
        <w:pStyle w:val="131"/>
        <w:widowControl/>
        <w:spacing w:line="300" w:lineRule="atLeast"/>
        <w:jc w:val="center"/>
        <w:rPr>
          <w:rFonts w:hint="default" w:ascii="Calibri" w:hAnsi="Calibri" w:cs="Calibri"/>
          <w:sz w:val="21"/>
          <w:szCs w:val="21"/>
          <w:lang w:val="pt-BR"/>
        </w:rPr>
      </w:pPr>
    </w:p>
    <w:p w14:paraId="19C4BDC0">
      <w:pPr>
        <w:jc w:val="center"/>
        <w:rPr>
          <w:rFonts w:hint="default" w:ascii="Calibri" w:hAnsi="Calibri" w:cs="Calibri"/>
          <w:color w:val="000000"/>
          <w:sz w:val="21"/>
          <w:szCs w:val="21"/>
        </w:rPr>
      </w:pPr>
      <w:r>
        <w:rPr>
          <w:rFonts w:hint="default" w:ascii="Calibri" w:hAnsi="Calibri" w:cs="Calibri"/>
          <w:color w:val="000000"/>
          <w:sz w:val="21"/>
          <w:szCs w:val="21"/>
        </w:rPr>
        <w:t>(Local e data)</w:t>
      </w:r>
    </w:p>
    <w:p w14:paraId="55F7F8F8">
      <w:pPr>
        <w:pStyle w:val="131"/>
        <w:widowControl/>
        <w:tabs>
          <w:tab w:val="left" w:pos="567"/>
        </w:tabs>
        <w:spacing w:line="300" w:lineRule="atLeast"/>
        <w:ind w:left="567" w:hanging="567"/>
        <w:jc w:val="center"/>
        <w:rPr>
          <w:rFonts w:hint="default" w:ascii="Calibri" w:hAnsi="Calibri" w:cs="Calibri"/>
          <w:b/>
          <w:bCs/>
          <w:iCs/>
          <w:sz w:val="21"/>
          <w:szCs w:val="21"/>
          <w:lang w:val="pt-BR"/>
        </w:rPr>
      </w:pPr>
      <w:r>
        <w:rPr>
          <w:rFonts w:hint="default" w:ascii="Calibri" w:hAnsi="Calibri" w:cs="Calibri"/>
          <w:sz w:val="21"/>
          <w:szCs w:val="21"/>
          <w:lang w:val="pt-BR"/>
        </w:rPr>
        <w:t>(Assinatura  da proponente/</w:t>
      </w:r>
      <w:r>
        <w:rPr>
          <w:rFonts w:hint="default" w:ascii="Calibri" w:hAnsi="Calibri" w:cs="Calibri"/>
          <w:b/>
          <w:sz w:val="21"/>
          <w:szCs w:val="21"/>
          <w:lang w:val="pt-BR"/>
        </w:rPr>
        <w:t>r</w:t>
      </w:r>
      <w:r>
        <w:rPr>
          <w:rFonts w:hint="default" w:ascii="Calibri" w:hAnsi="Calibri" w:cs="Calibri"/>
          <w:b/>
          <w:bCs/>
          <w:iCs/>
          <w:sz w:val="21"/>
          <w:szCs w:val="21"/>
          <w:lang w:val="pt-BR"/>
        </w:rPr>
        <w:t>epresentante legal da empresa)</w:t>
      </w:r>
    </w:p>
    <w:p w14:paraId="04F3D137">
      <w:pPr>
        <w:pStyle w:val="131"/>
        <w:widowControl/>
        <w:spacing w:line="300" w:lineRule="atLeast"/>
        <w:jc w:val="center"/>
        <w:rPr>
          <w:rFonts w:hint="default" w:ascii="Calibri" w:hAnsi="Calibri" w:cs="Calibri"/>
          <w:sz w:val="21"/>
          <w:szCs w:val="21"/>
          <w:lang w:val="pt-BR"/>
        </w:rPr>
        <w:sectPr>
          <w:headerReference r:id="rId6" w:type="first"/>
          <w:footerReference r:id="rId8" w:type="first"/>
          <w:headerReference r:id="rId5" w:type="default"/>
          <w:footerReference r:id="rId7" w:type="default"/>
          <w:pgSz w:w="11905" w:h="16838"/>
          <w:pgMar w:top="584" w:right="986" w:bottom="1134" w:left="1701" w:header="454" w:footer="0" w:gutter="0"/>
          <w:pgBorders>
            <w:top w:val="none" w:sz="0" w:space="0"/>
            <w:left w:val="none" w:sz="0" w:space="0"/>
            <w:bottom w:val="none" w:sz="0" w:space="0"/>
            <w:right w:val="none" w:sz="0" w:space="0"/>
          </w:pgBorders>
          <w:cols w:space="0" w:num="1"/>
          <w:rtlGutter w:val="0"/>
          <w:docGrid w:linePitch="360" w:charSpace="0"/>
        </w:sectPr>
      </w:pPr>
      <w:r>
        <w:rPr>
          <w:rFonts w:hint="default" w:ascii="Calibri" w:hAnsi="Calibri" w:cs="Calibri"/>
          <w:sz w:val="21"/>
          <w:szCs w:val="21"/>
          <w:lang w:val="pt-BR"/>
        </w:rPr>
        <w:br w:type="page"/>
      </w:r>
    </w:p>
    <w:p w14:paraId="1DED46E5">
      <w:pPr>
        <w:pStyle w:val="131"/>
        <w:widowControl/>
        <w:spacing w:line="300" w:lineRule="atLeast"/>
        <w:jc w:val="center"/>
        <w:rPr>
          <w:rFonts w:hint="default" w:ascii="Calibri" w:hAnsi="Calibri" w:cs="Calibri"/>
          <w:b/>
          <w:sz w:val="21"/>
          <w:szCs w:val="21"/>
        </w:rPr>
      </w:pPr>
      <w:r>
        <w:rPr>
          <w:rFonts w:hint="default" w:ascii="Calibri" w:hAnsi="Calibri" w:cs="Calibri"/>
          <w:b/>
          <w:sz w:val="21"/>
          <w:szCs w:val="21"/>
          <w:highlight w:val="lightGray"/>
        </w:rPr>
        <w:t xml:space="preserve">ANEXO </w:t>
      </w:r>
      <w:r>
        <w:rPr>
          <w:rFonts w:hint="default" w:ascii="Calibri" w:hAnsi="Calibri" w:cs="Calibri"/>
          <w:b/>
          <w:sz w:val="21"/>
          <w:szCs w:val="21"/>
          <w:highlight w:val="lightGray"/>
          <w:lang w:val="pt-BR"/>
        </w:rPr>
        <w:t>IX</w:t>
      </w:r>
      <w:r>
        <w:rPr>
          <w:rFonts w:hint="default" w:ascii="Calibri" w:hAnsi="Calibri" w:cs="Calibri"/>
          <w:b/>
          <w:sz w:val="21"/>
          <w:szCs w:val="21"/>
          <w:highlight w:val="lightGray"/>
        </w:rPr>
        <w:t xml:space="preserve"> – MODELO FICHA TÉCNICA</w:t>
      </w:r>
    </w:p>
    <w:p w14:paraId="61139A5F">
      <w:pPr>
        <w:jc w:val="center"/>
        <w:outlineLvl w:val="0"/>
        <w:rPr>
          <w:rFonts w:hint="default" w:ascii="Calibri" w:hAnsi="Calibri" w:cs="Calibri"/>
          <w:b/>
          <w:sz w:val="21"/>
          <w:szCs w:val="21"/>
        </w:rPr>
      </w:pPr>
      <w:r>
        <w:rPr>
          <w:rFonts w:hint="default" w:ascii="Calibri" w:hAnsi="Calibri" w:cs="Calibri"/>
          <w:b/>
          <w:sz w:val="21"/>
          <w:szCs w:val="21"/>
        </w:rPr>
        <w:t xml:space="preserve">FICHA TÉCNICA DESCRITIVA DO OBJETO </w:t>
      </w:r>
    </w:p>
    <w:p w14:paraId="2ADCEF43">
      <w:pPr>
        <w:jc w:val="center"/>
        <w:outlineLvl w:val="0"/>
        <w:rPr>
          <w:rFonts w:hint="default" w:ascii="Calibri" w:hAnsi="Calibri" w:cs="Calibri"/>
          <w:b/>
          <w:sz w:val="21"/>
          <w:szCs w:val="21"/>
        </w:rPr>
      </w:pPr>
      <w:r>
        <w:rPr>
          <w:rFonts w:hint="default" w:ascii="Calibri" w:hAnsi="Calibri" w:cs="Calibri"/>
          <w:b/>
          <w:sz w:val="21"/>
          <w:szCs w:val="21"/>
        </w:rPr>
        <w:t>(a ser enviada por meio eletrônico</w:t>
      </w:r>
      <w:r>
        <w:rPr>
          <w:rFonts w:hint="default" w:ascii="Calibri" w:hAnsi="Calibri" w:cs="Calibri"/>
          <w:b/>
          <w:sz w:val="21"/>
          <w:szCs w:val="21"/>
          <w:lang w:val="pt-BR"/>
        </w:rPr>
        <w:t xml:space="preserve"> na fase 02</w:t>
      </w:r>
      <w:r>
        <w:rPr>
          <w:rFonts w:hint="default" w:ascii="Calibri" w:hAnsi="Calibri" w:cs="Calibri"/>
          <w:b/>
          <w:sz w:val="21"/>
          <w:szCs w:val="21"/>
        </w:rPr>
        <w:t>)</w:t>
      </w:r>
    </w:p>
    <w:p w14:paraId="602473AC">
      <w:pPr>
        <w:jc w:val="center"/>
        <w:rPr>
          <w:rFonts w:hint="default" w:ascii="Calibri" w:hAnsi="Calibri" w:cs="Calibri"/>
          <w:sz w:val="21"/>
          <w:szCs w:val="21"/>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14970"/>
      </w:tblGrid>
      <w:tr w14:paraId="0879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97" w:hRule="atLeast"/>
          <w:jc w:val="center"/>
        </w:trPr>
        <w:tc>
          <w:tcPr>
            <w:tcW w:w="14970" w:type="dxa"/>
            <w:noWrap w:val="0"/>
            <w:vAlign w:val="top"/>
          </w:tcPr>
          <w:p w14:paraId="02B595CA">
            <w:pPr>
              <w:spacing w:line="300" w:lineRule="atLeast"/>
              <w:jc w:val="both"/>
              <w:rPr>
                <w:rFonts w:hint="default" w:ascii="Calibri" w:hAnsi="Calibri" w:cs="Calibri"/>
                <w:sz w:val="21"/>
                <w:szCs w:val="21"/>
              </w:rPr>
            </w:pPr>
            <w:r>
              <w:rPr>
                <w:rFonts w:hint="default" w:ascii="Calibri" w:hAnsi="Calibri" w:cs="Calibri"/>
                <w:b/>
                <w:sz w:val="21"/>
                <w:szCs w:val="21"/>
              </w:rPr>
              <w:t>Número do edital</w:t>
            </w:r>
            <w:r>
              <w:rPr>
                <w:rFonts w:hint="default" w:ascii="Calibri" w:hAnsi="Calibri" w:cs="Calibri"/>
                <w:sz w:val="21"/>
                <w:szCs w:val="21"/>
              </w:rPr>
              <w:t xml:space="preserve">: </w:t>
            </w:r>
          </w:p>
        </w:tc>
      </w:tr>
      <w:tr w14:paraId="1238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85" w:hRule="atLeast"/>
          <w:jc w:val="center"/>
        </w:trPr>
        <w:tc>
          <w:tcPr>
            <w:tcW w:w="14970" w:type="dxa"/>
            <w:noWrap w:val="0"/>
            <w:vAlign w:val="top"/>
          </w:tcPr>
          <w:p w14:paraId="6AC50B63">
            <w:pPr>
              <w:spacing w:line="300" w:lineRule="atLeast"/>
              <w:jc w:val="both"/>
              <w:rPr>
                <w:rFonts w:hint="default" w:ascii="Calibri" w:hAnsi="Calibri" w:cs="Calibri"/>
                <w:sz w:val="21"/>
                <w:szCs w:val="21"/>
              </w:rPr>
            </w:pPr>
            <w:r>
              <w:rPr>
                <w:rFonts w:hint="default" w:ascii="Calibri" w:hAnsi="Calibri" w:cs="Calibri"/>
                <w:b/>
                <w:sz w:val="21"/>
                <w:szCs w:val="21"/>
              </w:rPr>
              <w:t>Órgão comprador</w:t>
            </w:r>
            <w:r>
              <w:rPr>
                <w:rFonts w:hint="default" w:ascii="Calibri" w:hAnsi="Calibri" w:cs="Calibri"/>
                <w:sz w:val="21"/>
                <w:szCs w:val="21"/>
              </w:rPr>
              <w:t>:</w:t>
            </w:r>
          </w:p>
        </w:tc>
      </w:tr>
    </w:tbl>
    <w:p w14:paraId="5A895DC1">
      <w:pPr>
        <w:pStyle w:val="131"/>
        <w:widowControl/>
        <w:tabs>
          <w:tab w:val="left" w:pos="567"/>
        </w:tabs>
        <w:ind w:left="567" w:hanging="567"/>
        <w:jc w:val="both"/>
        <w:rPr>
          <w:rFonts w:hint="default" w:ascii="Calibri" w:hAnsi="Calibri" w:cs="Calibri"/>
          <w:sz w:val="21"/>
          <w:szCs w:val="21"/>
          <w:lang w:val="pt-BR"/>
        </w:rPr>
      </w:pPr>
    </w:p>
    <w:tbl>
      <w:tblPr>
        <w:tblStyle w:val="8"/>
        <w:tblW w:w="15139" w:type="dxa"/>
        <w:tblInd w:w="93" w:type="dxa"/>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Layout w:type="fixed"/>
        <w:tblCellMar>
          <w:top w:w="0" w:type="dxa"/>
          <w:left w:w="108" w:type="dxa"/>
          <w:bottom w:w="0" w:type="dxa"/>
          <w:right w:w="108" w:type="dxa"/>
        </w:tblCellMar>
      </w:tblPr>
      <w:tblGrid>
        <w:gridCol w:w="480"/>
        <w:gridCol w:w="448"/>
        <w:gridCol w:w="792"/>
        <w:gridCol w:w="6839"/>
        <w:gridCol w:w="1254"/>
        <w:gridCol w:w="1254"/>
        <w:gridCol w:w="744"/>
        <w:gridCol w:w="1074"/>
        <w:gridCol w:w="1019"/>
        <w:gridCol w:w="1235"/>
      </w:tblGrid>
      <w:tr w14:paraId="42296DC9">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1134" w:hRule="atLeast"/>
        </w:trPr>
        <w:tc>
          <w:tcPr>
            <w:tcW w:w="480" w:type="dxa"/>
            <w:tcBorders>
              <w:top w:val="nil"/>
              <w:left w:val="nil"/>
              <w:bottom w:val="nil"/>
              <w:right w:val="nil"/>
            </w:tcBorders>
            <w:shd w:val="clear" w:color="auto" w:fill="911527"/>
            <w:textDirection w:val="btLr"/>
            <w:vAlign w:val="center"/>
          </w:tcPr>
          <w:p w14:paraId="37E78C2F">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themeColor="background1"/>
                <w:sz w:val="18"/>
                <w:szCs w:val="18"/>
                <w:u w:val="none"/>
                <w14:textFill>
                  <w14:solidFill>
                    <w14:schemeClr w14:val="bg1"/>
                  </w14:solidFill>
                </w14:textFill>
              </w:rPr>
            </w:pPr>
            <w:r>
              <w:rPr>
                <w:rFonts w:hint="default" w:ascii="Arial Nova Cond" w:hAnsi="Arial Nova Cond" w:eastAsia="Aptos Narrow" w:cs="Arial Nova Cond"/>
                <w:b/>
                <w:bCs/>
                <w:i w:val="0"/>
                <w:iCs w:val="0"/>
                <w:color w:val="FFFFFF" w:themeColor="background1"/>
                <w:kern w:val="0"/>
                <w:sz w:val="18"/>
                <w:szCs w:val="18"/>
                <w:u w:val="none"/>
                <w:lang w:val="en-US" w:eastAsia="zh-CN" w:bidi="ar"/>
                <w14:textFill>
                  <w14:solidFill>
                    <w14:schemeClr w14:val="bg1"/>
                  </w14:solidFill>
                </w14:textFill>
              </w:rPr>
              <w:t>LOTE</w:t>
            </w:r>
          </w:p>
        </w:tc>
        <w:tc>
          <w:tcPr>
            <w:tcW w:w="448" w:type="dxa"/>
            <w:tcBorders>
              <w:top w:val="nil"/>
              <w:left w:val="nil"/>
              <w:bottom w:val="nil"/>
              <w:right w:val="nil"/>
            </w:tcBorders>
            <w:shd w:val="clear" w:color="auto" w:fill="911527"/>
            <w:textDirection w:val="btLr"/>
            <w:vAlign w:val="center"/>
          </w:tcPr>
          <w:p w14:paraId="0D112E03">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ITEM</w:t>
            </w:r>
          </w:p>
        </w:tc>
        <w:tc>
          <w:tcPr>
            <w:tcW w:w="792" w:type="dxa"/>
            <w:tcBorders>
              <w:top w:val="nil"/>
              <w:left w:val="nil"/>
              <w:bottom w:val="nil"/>
              <w:right w:val="nil"/>
            </w:tcBorders>
            <w:shd w:val="clear" w:color="auto" w:fill="911527"/>
            <w:vAlign w:val="center"/>
          </w:tcPr>
          <w:p w14:paraId="1C2E3C3E">
            <w:pPr>
              <w:keepNext w:val="0"/>
              <w:keepLines w:val="0"/>
              <w:widowControl/>
              <w:suppressLineNumbers w:val="0"/>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COD LC</w:t>
            </w:r>
          </w:p>
        </w:tc>
        <w:tc>
          <w:tcPr>
            <w:tcW w:w="6839" w:type="dxa"/>
            <w:tcBorders>
              <w:top w:val="nil"/>
              <w:left w:val="nil"/>
              <w:bottom w:val="nil"/>
              <w:right w:val="nil"/>
            </w:tcBorders>
            <w:shd w:val="clear" w:color="auto" w:fill="911527"/>
            <w:vAlign w:val="center"/>
          </w:tcPr>
          <w:p w14:paraId="1A9FD5C8">
            <w:pPr>
              <w:keepNext w:val="0"/>
              <w:keepLines w:val="0"/>
              <w:widowControl/>
              <w:suppressLineNumbers w:val="0"/>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DESCRIÇÃO</w:t>
            </w:r>
          </w:p>
        </w:tc>
        <w:tc>
          <w:tcPr>
            <w:tcW w:w="1254" w:type="dxa"/>
            <w:tcBorders>
              <w:top w:val="nil"/>
              <w:left w:val="nil"/>
              <w:bottom w:val="nil"/>
              <w:right w:val="nil"/>
            </w:tcBorders>
            <w:shd w:val="clear" w:color="auto" w:fill="911527"/>
            <w:vAlign w:val="center"/>
          </w:tcPr>
          <w:p w14:paraId="183386BB">
            <w:pPr>
              <w:keepNext w:val="0"/>
              <w:keepLines w:val="0"/>
              <w:widowControl/>
              <w:suppressLineNumbers w:val="0"/>
              <w:jc w:val="center"/>
              <w:textAlignment w:val="center"/>
              <w:rPr>
                <w:rFonts w:hint="default" w:ascii="Arial Nova Cond" w:hAnsi="Arial Nova Cond" w:eastAsia="Aptos Narrow" w:cs="Arial Nova Cond"/>
                <w:b/>
                <w:bCs/>
                <w:i w:val="0"/>
                <w:iCs w:val="0"/>
                <w:color w:val="FFFFFF"/>
                <w:kern w:val="0"/>
                <w:sz w:val="18"/>
                <w:szCs w:val="18"/>
                <w:u w:val="none"/>
                <w:lang w:val="pt-BR" w:eastAsia="zh-CN" w:bidi="ar"/>
              </w:rPr>
            </w:pPr>
            <w:r>
              <w:rPr>
                <w:rFonts w:hint="default" w:ascii="Arial Nova Cond" w:hAnsi="Arial Nova Cond" w:eastAsia="Aptos Narrow" w:cs="Arial Nova Cond"/>
                <w:b/>
                <w:bCs/>
                <w:i w:val="0"/>
                <w:iCs w:val="0"/>
                <w:color w:val="FFFFFF"/>
                <w:kern w:val="0"/>
                <w:sz w:val="18"/>
                <w:szCs w:val="18"/>
                <w:u w:val="none"/>
                <w:lang w:val="pt-BR" w:eastAsia="zh-CN" w:bidi="ar"/>
              </w:rPr>
              <w:t>MARCA</w:t>
            </w:r>
          </w:p>
        </w:tc>
        <w:tc>
          <w:tcPr>
            <w:tcW w:w="1254" w:type="dxa"/>
            <w:tcBorders>
              <w:top w:val="nil"/>
              <w:left w:val="nil"/>
              <w:bottom w:val="nil"/>
              <w:right w:val="nil"/>
            </w:tcBorders>
            <w:shd w:val="clear" w:color="auto" w:fill="911527"/>
            <w:textDirection w:val="btLr"/>
            <w:vAlign w:val="center"/>
          </w:tcPr>
          <w:p w14:paraId="1DE60619">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EMBALAGEM MÍNIMA</w:t>
            </w:r>
          </w:p>
        </w:tc>
        <w:tc>
          <w:tcPr>
            <w:tcW w:w="744" w:type="dxa"/>
            <w:tcBorders>
              <w:top w:val="nil"/>
              <w:left w:val="nil"/>
              <w:bottom w:val="nil"/>
              <w:right w:val="nil"/>
            </w:tcBorders>
            <w:shd w:val="clear" w:color="auto" w:fill="911527"/>
            <w:textDirection w:val="btLr"/>
            <w:vAlign w:val="center"/>
          </w:tcPr>
          <w:p w14:paraId="5175BB0B">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QTD TOTAL</w:t>
            </w:r>
          </w:p>
        </w:tc>
        <w:tc>
          <w:tcPr>
            <w:tcW w:w="1074" w:type="dxa"/>
            <w:tcBorders>
              <w:top w:val="nil"/>
              <w:left w:val="nil"/>
              <w:bottom w:val="nil"/>
              <w:right w:val="nil"/>
            </w:tcBorders>
            <w:shd w:val="clear" w:color="auto" w:fill="911527"/>
            <w:textDirection w:val="btLr"/>
            <w:vAlign w:val="center"/>
          </w:tcPr>
          <w:p w14:paraId="1A473FCA">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 xml:space="preserve"> VALOR UNITÁRIO </w:t>
            </w:r>
          </w:p>
        </w:tc>
        <w:tc>
          <w:tcPr>
            <w:tcW w:w="1019" w:type="dxa"/>
            <w:tcBorders>
              <w:top w:val="nil"/>
              <w:left w:val="nil"/>
              <w:bottom w:val="nil"/>
              <w:right w:val="nil"/>
            </w:tcBorders>
            <w:shd w:val="clear" w:color="auto" w:fill="911527"/>
            <w:textDirection w:val="btLr"/>
            <w:vAlign w:val="center"/>
          </w:tcPr>
          <w:p w14:paraId="11ED967C">
            <w:pPr>
              <w:keepNext w:val="0"/>
              <w:keepLines w:val="0"/>
              <w:widowControl/>
              <w:suppressLineNumbers w:val="0"/>
              <w:ind w:left="113" w:right="113"/>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VALOR TOTAL</w:t>
            </w:r>
          </w:p>
        </w:tc>
        <w:tc>
          <w:tcPr>
            <w:tcW w:w="1235" w:type="dxa"/>
            <w:tcBorders>
              <w:top w:val="nil"/>
              <w:left w:val="nil"/>
              <w:bottom w:val="nil"/>
              <w:right w:val="nil"/>
            </w:tcBorders>
            <w:shd w:val="clear" w:color="auto" w:fill="911527"/>
            <w:vAlign w:val="center"/>
          </w:tcPr>
          <w:p w14:paraId="5C2B81C6">
            <w:pPr>
              <w:keepNext w:val="0"/>
              <w:keepLines w:val="0"/>
              <w:widowControl/>
              <w:suppressLineNumbers w:val="0"/>
              <w:jc w:val="center"/>
              <w:textAlignment w:val="center"/>
              <w:rPr>
                <w:rFonts w:hint="default" w:ascii="Arial Nova Cond" w:hAnsi="Arial Nova Cond" w:eastAsia="Aptos Narrow" w:cs="Arial Nova Cond"/>
                <w:b/>
                <w:bCs/>
                <w:i w:val="0"/>
                <w:iCs w:val="0"/>
                <w:color w:val="FFFFFF"/>
                <w:sz w:val="18"/>
                <w:szCs w:val="18"/>
                <w:u w:val="none"/>
              </w:rPr>
            </w:pPr>
            <w:r>
              <w:rPr>
                <w:rFonts w:hint="default" w:ascii="Arial Nova Cond" w:hAnsi="Arial Nova Cond" w:eastAsia="Aptos Narrow" w:cs="Arial Nova Cond"/>
                <w:b/>
                <w:bCs/>
                <w:i w:val="0"/>
                <w:iCs w:val="0"/>
                <w:color w:val="FFFFFF"/>
                <w:kern w:val="0"/>
                <w:sz w:val="18"/>
                <w:szCs w:val="18"/>
                <w:u w:val="none"/>
                <w:lang w:val="en-US" w:eastAsia="zh-CN" w:bidi="ar"/>
              </w:rPr>
              <w:t>TOTAL DO LOTE</w:t>
            </w:r>
          </w:p>
        </w:tc>
      </w:tr>
      <w:tr w14:paraId="498EB49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31" w:hRule="atLeast"/>
        </w:trPr>
        <w:tc>
          <w:tcPr>
            <w:tcW w:w="480" w:type="dxa"/>
            <w:tcBorders>
              <w:top w:val="nil"/>
            </w:tcBorders>
            <w:shd w:val="clear" w:color="auto" w:fill="FBE4E8"/>
            <w:vAlign w:val="center"/>
          </w:tcPr>
          <w:p w14:paraId="0176EF7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01</w:t>
            </w:r>
          </w:p>
        </w:tc>
        <w:tc>
          <w:tcPr>
            <w:tcW w:w="448" w:type="dxa"/>
            <w:tcBorders>
              <w:top w:val="nil"/>
            </w:tcBorders>
            <w:shd w:val="clear" w:color="auto" w:fill="FBE4E8"/>
            <w:vAlign w:val="center"/>
          </w:tcPr>
          <w:p w14:paraId="19A802C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tcBorders>
              <w:top w:val="nil"/>
            </w:tcBorders>
            <w:shd w:val="clear" w:color="auto" w:fill="FBE4E8"/>
            <w:vAlign w:val="center"/>
          </w:tcPr>
          <w:p w14:paraId="537FE26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87852</w:t>
            </w:r>
          </w:p>
        </w:tc>
        <w:tc>
          <w:tcPr>
            <w:tcW w:w="6839" w:type="dxa"/>
            <w:tcBorders>
              <w:top w:val="nil"/>
            </w:tcBorders>
            <w:shd w:val="clear" w:color="auto" w:fill="FBE4E8"/>
            <w:vAlign w:val="center"/>
          </w:tcPr>
          <w:p w14:paraId="33F7FF5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Arial Nova Cond" w:hAnsi="Arial Nova Cond" w:eastAsia="Aptos Narrow" w:cs="Arial Nova Cond"/>
                <w:i w:val="0"/>
                <w:iCs w:val="0"/>
                <w:color w:val="000000"/>
                <w:sz w:val="18"/>
                <w:szCs w:val="18"/>
                <w:u w:val="none"/>
              </w:rPr>
            </w:pPr>
            <w:r>
              <w:rPr>
                <w:rFonts w:hint="default" w:ascii="Arial Nova Cond" w:hAnsi="Arial Nova Cond" w:eastAsia="Times New Roman" w:cs="Arial Nova Cond"/>
                <w:color w:val="000000"/>
                <w:kern w:val="0"/>
                <w:sz w:val="16"/>
                <w:szCs w:val="16"/>
                <w:u w:val="none"/>
                <w:vertAlign w:val="baseline"/>
                <w:lang w:val="en-US" w:eastAsia="en-US" w:bidi="ar"/>
              </w:rPr>
              <w:pict>
                <v:shape id="_x0000_s1051" o:spid="_x0000_s1051" o:spt="172" type="#_x0000_t172" style="position:absolute;left:0pt;margin-left:92.9pt;margin-top:38.85pt;height:129.55pt;width:394.2pt;rotation:-1376256f;z-index:251676672;mso-width-relative:page;mso-height-relative:page;" fillcolor="#000000" filled="t" stroked="t" coordsize="21600,21600" adj="12000">
                  <v:path/>
                  <v:fill on="t" color2="#FFFFFF" opacity="11141f" focussize="0,0"/>
                  <v:stroke/>
                  <v:imagedata o:title=""/>
                  <o:lock v:ext="edit" aspectratio="f"/>
                  <v:textpath on="t" fitshape="t" fitpath="t" trim="t" xscale="f" string="MODELO" style="font-family:Arial Black;font-size:36pt;v-text-align:center;"/>
                </v:shape>
              </w:pict>
            </w:r>
            <w:r>
              <w:rPr>
                <w:rStyle w:val="150"/>
                <w:rFonts w:hint="default" w:ascii="Arial Nova Cond" w:hAnsi="Arial Nova Cond" w:eastAsia="Aptos Narrow" w:cs="Arial Nova Cond"/>
                <w:sz w:val="18"/>
                <w:szCs w:val="18"/>
                <w:lang w:val="en-US" w:eastAsia="zh-CN" w:bidi="ar"/>
              </w:rPr>
              <w:t>Café:</w:t>
            </w:r>
            <w:r>
              <w:rPr>
                <w:rFonts w:hint="default" w:ascii="Arial Nova Cond" w:hAnsi="Arial Nova Cond" w:eastAsia="Aptos Narrow" w:cs="Arial Nova Cond"/>
                <w:i w:val="0"/>
                <w:iCs w:val="0"/>
                <w:color w:val="000000"/>
                <w:kern w:val="0"/>
                <w:sz w:val="18"/>
                <w:szCs w:val="18"/>
                <w:u w:val="none"/>
                <w:lang w:val="en-US" w:eastAsia="zh-CN" w:bidi="ar"/>
              </w:rPr>
              <w:t xml:space="preserve"> aspecto em pó; homogêneo; bebida do tipo "dura" ou de melhor qualidade; deve possuir certificação "Tradicional" ou de melhor qualidade, em plena validade, emitida pela ABIC (ou laudo de avaliação emitido por laboratório especializado, com nota de qualidade global mínima de 5,0 pontos na Escala Sensorial do Café).</w:t>
            </w:r>
          </w:p>
        </w:tc>
        <w:tc>
          <w:tcPr>
            <w:tcW w:w="1254" w:type="dxa"/>
            <w:tcBorders>
              <w:top w:val="nil"/>
            </w:tcBorders>
            <w:shd w:val="clear" w:color="auto" w:fill="FBE4E8"/>
            <w:vAlign w:val="center"/>
          </w:tcPr>
          <w:p w14:paraId="5BFE5C1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tcBorders>
              <w:top w:val="nil"/>
            </w:tcBorders>
            <w:shd w:val="clear" w:color="auto" w:fill="FBE4E8"/>
            <w:vAlign w:val="center"/>
          </w:tcPr>
          <w:p w14:paraId="6D7E873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tcBorders>
              <w:top w:val="nil"/>
            </w:tcBorders>
            <w:shd w:val="clear" w:color="auto" w:fill="FBE4E8"/>
            <w:vAlign w:val="center"/>
          </w:tcPr>
          <w:p w14:paraId="613CEFC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5998</w:t>
            </w:r>
          </w:p>
        </w:tc>
        <w:tc>
          <w:tcPr>
            <w:tcW w:w="1074" w:type="dxa"/>
            <w:tcBorders>
              <w:top w:val="nil"/>
            </w:tcBorders>
            <w:shd w:val="clear" w:color="auto" w:fill="FBE4E8"/>
            <w:vAlign w:val="center"/>
          </w:tcPr>
          <w:p w14:paraId="6A98DE1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tcBorders>
              <w:top w:val="nil"/>
            </w:tcBorders>
            <w:shd w:val="clear" w:color="auto" w:fill="FBE4E8"/>
            <w:vAlign w:val="center"/>
          </w:tcPr>
          <w:p w14:paraId="2693930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tcBorders>
              <w:top w:val="nil"/>
            </w:tcBorders>
            <w:shd w:val="clear" w:color="auto" w:fill="FBE4E8"/>
            <w:vAlign w:val="center"/>
          </w:tcPr>
          <w:p w14:paraId="56890B4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67737D3">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554" w:hRule="atLeast"/>
        </w:trPr>
        <w:tc>
          <w:tcPr>
            <w:tcW w:w="480" w:type="dxa"/>
            <w:shd w:val="clear" w:color="auto" w:fill="FFFFFF"/>
            <w:vAlign w:val="center"/>
          </w:tcPr>
          <w:p w14:paraId="047CBA1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02</w:t>
            </w:r>
          </w:p>
        </w:tc>
        <w:tc>
          <w:tcPr>
            <w:tcW w:w="448" w:type="dxa"/>
            <w:shd w:val="clear" w:color="auto" w:fill="FFFFFF"/>
            <w:vAlign w:val="center"/>
          </w:tcPr>
          <w:p w14:paraId="024EF6C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2072FE2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87853</w:t>
            </w:r>
          </w:p>
        </w:tc>
        <w:tc>
          <w:tcPr>
            <w:tcW w:w="6839" w:type="dxa"/>
            <w:shd w:val="clear" w:color="auto" w:fill="FFFFFF"/>
            <w:vAlign w:val="center"/>
          </w:tcPr>
          <w:p w14:paraId="561E68D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Chá Mate:</w:t>
            </w:r>
            <w:r>
              <w:rPr>
                <w:rFonts w:hint="default" w:ascii="Arial Nova Cond" w:hAnsi="Arial Nova Cond" w:eastAsia="Aptos Narrow" w:cs="Arial Nova Cond"/>
                <w:i w:val="0"/>
                <w:iCs w:val="0"/>
                <w:color w:val="000000"/>
                <w:kern w:val="0"/>
                <w:sz w:val="18"/>
                <w:szCs w:val="18"/>
                <w:u w:val="none"/>
                <w:lang w:val="en-US" w:eastAsia="zh-CN" w:bidi="ar"/>
              </w:rPr>
              <w:t xml:space="preserve"> constituído por folhas, hastes, pecíolos e pedúnculos de erva mate, queimado de forma tradicional,sem coloração artificial e sem mistura com outras ervas.</w:t>
            </w:r>
          </w:p>
        </w:tc>
        <w:tc>
          <w:tcPr>
            <w:tcW w:w="1254" w:type="dxa"/>
            <w:shd w:val="clear" w:color="auto" w:fill="FFFFFF"/>
            <w:vAlign w:val="center"/>
          </w:tcPr>
          <w:p w14:paraId="5DFC4B9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44768D1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250 g</w:t>
            </w:r>
          </w:p>
        </w:tc>
        <w:tc>
          <w:tcPr>
            <w:tcW w:w="744" w:type="dxa"/>
            <w:shd w:val="clear" w:color="auto" w:fill="FFFFFF"/>
            <w:vAlign w:val="center"/>
          </w:tcPr>
          <w:p w14:paraId="71213E6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2781</w:t>
            </w:r>
          </w:p>
        </w:tc>
        <w:tc>
          <w:tcPr>
            <w:tcW w:w="1074" w:type="dxa"/>
            <w:shd w:val="clear" w:color="auto" w:fill="FFFFFF"/>
            <w:vAlign w:val="center"/>
          </w:tcPr>
          <w:p w14:paraId="33B8EAF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72E1450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4316F8A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291D85D7">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90" w:hRule="atLeast"/>
        </w:trPr>
        <w:tc>
          <w:tcPr>
            <w:tcW w:w="480" w:type="dxa"/>
            <w:shd w:val="clear" w:color="auto" w:fill="FBE4E8"/>
            <w:vAlign w:val="center"/>
          </w:tcPr>
          <w:p w14:paraId="570C126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03</w:t>
            </w:r>
          </w:p>
        </w:tc>
        <w:tc>
          <w:tcPr>
            <w:tcW w:w="448" w:type="dxa"/>
            <w:shd w:val="clear" w:color="auto" w:fill="FBE4E8"/>
            <w:vAlign w:val="center"/>
          </w:tcPr>
          <w:p w14:paraId="1A5DFE6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7DB19F5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87854</w:t>
            </w:r>
          </w:p>
        </w:tc>
        <w:tc>
          <w:tcPr>
            <w:tcW w:w="6839" w:type="dxa"/>
            <w:shd w:val="clear" w:color="auto" w:fill="FBE4E8"/>
            <w:vAlign w:val="center"/>
          </w:tcPr>
          <w:p w14:paraId="6B8FBC9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Farinha Láctea: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enriquecida com vitaminas e minerais; validade mínima de 80% do prazo inicial ainda válido, contado a partir da data de entrega; produto deve atender às normas da ANVISA e legislações vigentes.</w:t>
            </w:r>
          </w:p>
        </w:tc>
        <w:tc>
          <w:tcPr>
            <w:tcW w:w="1254" w:type="dxa"/>
            <w:shd w:val="clear" w:color="auto" w:fill="FBE4E8"/>
            <w:vAlign w:val="center"/>
          </w:tcPr>
          <w:p w14:paraId="1AF0692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3CD5D24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350 g</w:t>
            </w:r>
          </w:p>
        </w:tc>
        <w:tc>
          <w:tcPr>
            <w:tcW w:w="744" w:type="dxa"/>
            <w:shd w:val="clear" w:color="auto" w:fill="FBE4E8"/>
            <w:vAlign w:val="center"/>
          </w:tcPr>
          <w:p w14:paraId="03653E3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1C9918C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403C286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72E5925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26786671">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57" w:hRule="atLeast"/>
        </w:trPr>
        <w:tc>
          <w:tcPr>
            <w:tcW w:w="480" w:type="dxa"/>
            <w:shd w:val="clear" w:color="auto" w:fill="FFFFFF"/>
            <w:vAlign w:val="center"/>
          </w:tcPr>
          <w:p w14:paraId="068156D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04</w:t>
            </w:r>
          </w:p>
        </w:tc>
        <w:tc>
          <w:tcPr>
            <w:tcW w:w="448" w:type="dxa"/>
            <w:shd w:val="clear" w:color="auto" w:fill="FFFFFF"/>
            <w:vAlign w:val="center"/>
          </w:tcPr>
          <w:p w14:paraId="061E2C3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6A4801D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87855</w:t>
            </w:r>
          </w:p>
        </w:tc>
        <w:tc>
          <w:tcPr>
            <w:tcW w:w="6839" w:type="dxa"/>
            <w:shd w:val="clear" w:color="auto" w:fill="FFFFFF"/>
            <w:vAlign w:val="center"/>
          </w:tcPr>
          <w:p w14:paraId="6B99CA5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Aveia em Flocos:</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validade mínima de 80% do prazo inicial ainda válido, contado a partir da data de entrega; produto deve atender às normas da ANVISA e legislações vigentes.</w:t>
            </w:r>
          </w:p>
        </w:tc>
        <w:tc>
          <w:tcPr>
            <w:tcW w:w="1254" w:type="dxa"/>
            <w:shd w:val="clear" w:color="auto" w:fill="FFFFFF"/>
            <w:vAlign w:val="center"/>
          </w:tcPr>
          <w:p w14:paraId="4C64792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6DD261E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150 g</w:t>
            </w:r>
          </w:p>
        </w:tc>
        <w:tc>
          <w:tcPr>
            <w:tcW w:w="744" w:type="dxa"/>
            <w:shd w:val="clear" w:color="auto" w:fill="FFFFFF"/>
            <w:vAlign w:val="center"/>
          </w:tcPr>
          <w:p w14:paraId="5E7B53D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200</w:t>
            </w:r>
          </w:p>
        </w:tc>
        <w:tc>
          <w:tcPr>
            <w:tcW w:w="1074" w:type="dxa"/>
            <w:shd w:val="clear" w:color="auto" w:fill="FFFFFF"/>
            <w:vAlign w:val="center"/>
          </w:tcPr>
          <w:p w14:paraId="562CAEE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451EDB1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2E326FD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055D4CD4">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66" w:hRule="atLeast"/>
        </w:trPr>
        <w:tc>
          <w:tcPr>
            <w:tcW w:w="480" w:type="dxa"/>
            <w:vMerge w:val="restart"/>
            <w:shd w:val="clear" w:color="auto" w:fill="FBE4E8"/>
            <w:vAlign w:val="center"/>
          </w:tcPr>
          <w:p w14:paraId="1EA45BE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05</w:t>
            </w:r>
          </w:p>
        </w:tc>
        <w:tc>
          <w:tcPr>
            <w:tcW w:w="448" w:type="dxa"/>
            <w:shd w:val="clear" w:color="auto" w:fill="FBE4E8"/>
            <w:vAlign w:val="center"/>
          </w:tcPr>
          <w:p w14:paraId="278FAEA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2F4F1DB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87856</w:t>
            </w:r>
          </w:p>
        </w:tc>
        <w:tc>
          <w:tcPr>
            <w:tcW w:w="6839" w:type="dxa"/>
            <w:shd w:val="clear" w:color="auto" w:fill="FBE4E8"/>
            <w:vAlign w:val="center"/>
          </w:tcPr>
          <w:p w14:paraId="49404AFA">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Farinha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granulometria do tipo flocada; adequada para uso em preparações culinárias como farofas, mingaus e panificação; validade mínima de 80% do prazo inicial ainda válido, contado a partir da data de entrega; produto deve atender às normas da ANVISA e legislações vigentes.</w:t>
            </w:r>
          </w:p>
        </w:tc>
        <w:tc>
          <w:tcPr>
            <w:tcW w:w="1254" w:type="dxa"/>
            <w:shd w:val="clear" w:color="auto" w:fill="FBE4E8"/>
            <w:vAlign w:val="center"/>
          </w:tcPr>
          <w:p w14:paraId="2A764FF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B43B7A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13AFC66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540</w:t>
            </w:r>
          </w:p>
        </w:tc>
        <w:tc>
          <w:tcPr>
            <w:tcW w:w="1074" w:type="dxa"/>
            <w:shd w:val="clear" w:color="auto" w:fill="FBE4E8"/>
            <w:vAlign w:val="center"/>
          </w:tcPr>
          <w:p w14:paraId="5C018C9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AFE8F7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BE4E8"/>
            <w:vAlign w:val="center"/>
          </w:tcPr>
          <w:p w14:paraId="6051000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1EB284D6">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90" w:hRule="atLeast"/>
        </w:trPr>
        <w:tc>
          <w:tcPr>
            <w:tcW w:w="480" w:type="dxa"/>
            <w:vMerge w:val="continue"/>
            <w:shd w:val="clear" w:color="auto" w:fill="FBE4E8"/>
            <w:vAlign w:val="center"/>
          </w:tcPr>
          <w:p w14:paraId="7905B930">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43868B8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13D58B5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87857</w:t>
            </w:r>
          </w:p>
        </w:tc>
        <w:tc>
          <w:tcPr>
            <w:tcW w:w="6839" w:type="dxa"/>
            <w:shd w:val="clear" w:color="auto" w:fill="FBE4E8"/>
            <w:vAlign w:val="center"/>
          </w:tcPr>
          <w:p w14:paraId="3D02DCD0">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Farinha de Trigo: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granulometria fina; adequada para uso em panificação, confeitaria e outras preparações alimentícias; validade mínima de 80% do prazo inicial ainda válido, contado a partir da data de entrega; produto deve atender às normas da ANVISA e legislações vigentes.</w:t>
            </w:r>
          </w:p>
        </w:tc>
        <w:tc>
          <w:tcPr>
            <w:tcW w:w="1254" w:type="dxa"/>
            <w:shd w:val="clear" w:color="auto" w:fill="FBE4E8"/>
            <w:vAlign w:val="center"/>
          </w:tcPr>
          <w:p w14:paraId="08FB124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158FA92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kg</w:t>
            </w:r>
          </w:p>
        </w:tc>
        <w:tc>
          <w:tcPr>
            <w:tcW w:w="744" w:type="dxa"/>
            <w:shd w:val="clear" w:color="auto" w:fill="FBE4E8"/>
            <w:vAlign w:val="center"/>
          </w:tcPr>
          <w:p w14:paraId="59DDCF3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1040</w:t>
            </w:r>
          </w:p>
        </w:tc>
        <w:tc>
          <w:tcPr>
            <w:tcW w:w="1074" w:type="dxa"/>
            <w:shd w:val="clear" w:color="auto" w:fill="FBE4E8"/>
            <w:vAlign w:val="center"/>
          </w:tcPr>
          <w:p w14:paraId="188132E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4D2AD60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7291CB1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EF908C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1032" w:hRule="atLeast"/>
        </w:trPr>
        <w:tc>
          <w:tcPr>
            <w:tcW w:w="480" w:type="dxa"/>
            <w:vMerge w:val="continue"/>
            <w:shd w:val="clear" w:color="auto" w:fill="FBE4E8"/>
            <w:vAlign w:val="center"/>
          </w:tcPr>
          <w:p w14:paraId="1DFD1740">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6DFFA51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24E2117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87858</w:t>
            </w:r>
          </w:p>
        </w:tc>
        <w:tc>
          <w:tcPr>
            <w:tcW w:w="6839" w:type="dxa"/>
            <w:shd w:val="clear" w:color="auto" w:fill="FBE4E8"/>
            <w:vAlign w:val="center"/>
          </w:tcPr>
          <w:p w14:paraId="6AE9ECB5">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Farinha de Rosca: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granulometria fina; adequada para empanar alimentos e outras preparações culinárias; validade mínima de 80% do prazo inicial ainda válido, contado a partir da data de entrega; produto deve atender às normas da ANVISA e legislações vigentes.</w:t>
            </w:r>
          </w:p>
        </w:tc>
        <w:tc>
          <w:tcPr>
            <w:tcW w:w="1254" w:type="dxa"/>
            <w:shd w:val="clear" w:color="auto" w:fill="FBE4E8"/>
            <w:vAlign w:val="center"/>
          </w:tcPr>
          <w:p w14:paraId="2073919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7A037EA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2E095E7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240</w:t>
            </w:r>
          </w:p>
        </w:tc>
        <w:tc>
          <w:tcPr>
            <w:tcW w:w="1074" w:type="dxa"/>
            <w:shd w:val="clear" w:color="auto" w:fill="FBE4E8"/>
            <w:vAlign w:val="center"/>
          </w:tcPr>
          <w:p w14:paraId="7AA0D5F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48C104E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5DEEF05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0A2BDA5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78" w:hRule="atLeast"/>
        </w:trPr>
        <w:tc>
          <w:tcPr>
            <w:tcW w:w="480" w:type="dxa"/>
            <w:vMerge w:val="continue"/>
            <w:shd w:val="clear" w:color="auto" w:fill="FFFFFF"/>
            <w:vAlign w:val="center"/>
          </w:tcPr>
          <w:p w14:paraId="1CCD2DCB">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2593FD8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pt-BR" w:eastAsia="zh-CN" w:bidi="ar"/>
              </w:rPr>
              <w:t>4</w:t>
            </w:r>
          </w:p>
        </w:tc>
        <w:tc>
          <w:tcPr>
            <w:tcW w:w="792" w:type="dxa"/>
            <w:shd w:val="clear" w:color="auto" w:fill="FBE4E8"/>
            <w:vAlign w:val="center"/>
          </w:tcPr>
          <w:p w14:paraId="745C457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87859</w:t>
            </w:r>
          </w:p>
        </w:tc>
        <w:tc>
          <w:tcPr>
            <w:tcW w:w="6839" w:type="dxa"/>
            <w:shd w:val="clear" w:color="auto" w:fill="FBE4E8"/>
            <w:vAlign w:val="center"/>
          </w:tcPr>
          <w:p w14:paraId="42D89B5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Fubá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granulometria fina ou média; adequado para uso em preparações culinárias como polenta, mingau e bolos; validade mínima de 80% do prazo inicial ainda válido, contado a partir da data de entrega; produto deve atender às normas da ANVISA e legislações vigentes.</w:t>
            </w:r>
          </w:p>
        </w:tc>
        <w:tc>
          <w:tcPr>
            <w:tcW w:w="1254" w:type="dxa"/>
            <w:shd w:val="clear" w:color="auto" w:fill="FBE4E8"/>
            <w:vAlign w:val="center"/>
          </w:tcPr>
          <w:p w14:paraId="1231453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546FF86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3F6CD64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1040</w:t>
            </w:r>
          </w:p>
        </w:tc>
        <w:tc>
          <w:tcPr>
            <w:tcW w:w="1074" w:type="dxa"/>
            <w:shd w:val="clear" w:color="auto" w:fill="FBE4E8"/>
            <w:vAlign w:val="center"/>
          </w:tcPr>
          <w:p w14:paraId="23FD0C5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6C3AD0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1224178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97B4EAC">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21" w:hRule="atLeast"/>
        </w:trPr>
        <w:tc>
          <w:tcPr>
            <w:tcW w:w="480" w:type="dxa"/>
            <w:shd w:val="clear" w:color="auto" w:fill="FFFFFF"/>
            <w:vAlign w:val="center"/>
          </w:tcPr>
          <w:p w14:paraId="188165A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06</w:t>
            </w:r>
          </w:p>
        </w:tc>
        <w:tc>
          <w:tcPr>
            <w:tcW w:w="448" w:type="dxa"/>
            <w:shd w:val="clear" w:color="auto" w:fill="FFFFFF"/>
            <w:vAlign w:val="center"/>
          </w:tcPr>
          <w:p w14:paraId="54BB4A5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38834B5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87860</w:t>
            </w:r>
          </w:p>
        </w:tc>
        <w:tc>
          <w:tcPr>
            <w:tcW w:w="6839" w:type="dxa"/>
            <w:shd w:val="clear" w:color="auto" w:fill="FFFFFF"/>
            <w:vAlign w:val="center"/>
          </w:tcPr>
          <w:p w14:paraId="3F4CD833">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Trigo para Quibe: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preparo de quibe e outras receitas típicas; validade mínima de 80% do prazo inicial ainda válido, contado a partir da data de entrega; produto deve atender às normas da ANVISA e legislações vigentes.</w:t>
            </w:r>
          </w:p>
        </w:tc>
        <w:tc>
          <w:tcPr>
            <w:tcW w:w="1254" w:type="dxa"/>
            <w:shd w:val="clear" w:color="auto" w:fill="FFFFFF"/>
            <w:vAlign w:val="center"/>
          </w:tcPr>
          <w:p w14:paraId="0E9C908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62B6018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FFFFF"/>
            <w:vAlign w:val="center"/>
          </w:tcPr>
          <w:p w14:paraId="27729D7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140</w:t>
            </w:r>
          </w:p>
        </w:tc>
        <w:tc>
          <w:tcPr>
            <w:tcW w:w="1074" w:type="dxa"/>
            <w:shd w:val="clear" w:color="auto" w:fill="FFFFFF"/>
            <w:vAlign w:val="center"/>
          </w:tcPr>
          <w:p w14:paraId="77F359A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07DEE07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65F86A2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2A48AB8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37" w:hRule="atLeast"/>
        </w:trPr>
        <w:tc>
          <w:tcPr>
            <w:tcW w:w="480" w:type="dxa"/>
            <w:shd w:val="clear" w:color="auto" w:fill="FBE4E8"/>
            <w:vAlign w:val="center"/>
          </w:tcPr>
          <w:p w14:paraId="14333D3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07</w:t>
            </w:r>
          </w:p>
        </w:tc>
        <w:tc>
          <w:tcPr>
            <w:tcW w:w="448" w:type="dxa"/>
            <w:shd w:val="clear" w:color="auto" w:fill="FBE4E8"/>
            <w:vAlign w:val="center"/>
          </w:tcPr>
          <w:p w14:paraId="4C0B633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6819602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87861</w:t>
            </w:r>
          </w:p>
        </w:tc>
        <w:tc>
          <w:tcPr>
            <w:tcW w:w="6839" w:type="dxa"/>
            <w:shd w:val="clear" w:color="auto" w:fill="FBE4E8"/>
            <w:vAlign w:val="center"/>
          </w:tcPr>
          <w:p w14:paraId="359A8A55">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Amido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pó branco, fino e solúvel em água; adequado para uso como espessante em preparações culinárias, como cremes, molhos e sobremesas; validade mínima de 80% do prazo inicial ainda válido, contado a partir da data de entrega; produto deve atender às normas da ANVISA e legislações vigentes.</w:t>
            </w:r>
          </w:p>
        </w:tc>
        <w:tc>
          <w:tcPr>
            <w:tcW w:w="1254" w:type="dxa"/>
            <w:shd w:val="clear" w:color="auto" w:fill="FBE4E8"/>
            <w:vAlign w:val="center"/>
          </w:tcPr>
          <w:p w14:paraId="7EB74D4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1DBF494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68C1FE0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440</w:t>
            </w:r>
          </w:p>
        </w:tc>
        <w:tc>
          <w:tcPr>
            <w:tcW w:w="1074" w:type="dxa"/>
            <w:shd w:val="clear" w:color="auto" w:fill="FBE4E8"/>
            <w:vAlign w:val="center"/>
          </w:tcPr>
          <w:p w14:paraId="011F7BD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4B68F89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3687268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10AF42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24" w:hRule="atLeast"/>
        </w:trPr>
        <w:tc>
          <w:tcPr>
            <w:tcW w:w="480" w:type="dxa"/>
            <w:vMerge w:val="restart"/>
            <w:shd w:val="clear" w:color="auto" w:fill="FFFFFF"/>
            <w:vAlign w:val="center"/>
          </w:tcPr>
          <w:p w14:paraId="4ADF4B5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08</w:t>
            </w:r>
          </w:p>
        </w:tc>
        <w:tc>
          <w:tcPr>
            <w:tcW w:w="448" w:type="dxa"/>
            <w:shd w:val="clear" w:color="auto" w:fill="FFFFFF"/>
            <w:vAlign w:val="center"/>
          </w:tcPr>
          <w:p w14:paraId="17A6512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04C8260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87862</w:t>
            </w:r>
          </w:p>
        </w:tc>
        <w:tc>
          <w:tcPr>
            <w:tcW w:w="6839" w:type="dxa"/>
            <w:shd w:val="clear" w:color="auto" w:fill="FFFFFF"/>
            <w:vAlign w:val="center"/>
          </w:tcPr>
          <w:p w14:paraId="3ED86B59">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Leite em Pó Integral:</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alimentícias, como bebidas, sobremesas e receitas culinárias; validade mínima de 80% do prazo inicial ain</w:t>
            </w:r>
            <w:r>
              <w:rPr>
                <w:rFonts w:hint="default" w:ascii="Arial Nova Cond" w:hAnsi="Arial Nova Cond" w:eastAsia="Times New Roman" w:cs="Arial Nova Cond"/>
                <w:color w:val="000000"/>
                <w:kern w:val="0"/>
                <w:sz w:val="16"/>
                <w:szCs w:val="16"/>
                <w:u w:val="none"/>
                <w:vertAlign w:val="baseline"/>
                <w:lang w:val="en-US" w:eastAsia="en-US" w:bidi="ar"/>
              </w:rPr>
              <w:pict>
                <v:shape id="_x0000_s1058" o:spid="_x0000_s1058" o:spt="172" type="#_x0000_t172" style="position:absolute;left:0pt;margin-left:92.9pt;margin-top:-15.65pt;height:129.55pt;width:394.2pt;rotation:-1376256f;z-index:251677696;mso-width-relative:page;mso-height-relative:page;" fillcolor="#000000" filled="t" stroked="t" coordsize="21600,21600" adj="12000">
                  <v:path/>
                  <v:fill on="t" color2="#FFFFFF" opacity="11141f" focussize="0,0"/>
                  <v:stroke/>
                  <v:imagedata o:title=""/>
                  <o:lock v:ext="edit" aspectratio="f"/>
                  <v:textpath on="t" fitshape="t" fitpath="t" trim="t" xscale="f" string="MODELO" style="font-family:Arial Black;font-size:36pt;v-text-align:center;"/>
                </v:shape>
              </w:pict>
            </w:r>
            <w:r>
              <w:rPr>
                <w:rFonts w:hint="default" w:ascii="Arial Nova Cond" w:hAnsi="Arial Nova Cond" w:eastAsia="Aptos Narrow" w:cs="Arial Nova Cond"/>
                <w:i w:val="0"/>
                <w:iCs w:val="0"/>
                <w:color w:val="000000"/>
                <w:kern w:val="0"/>
                <w:sz w:val="18"/>
                <w:szCs w:val="18"/>
                <w:u w:val="none"/>
                <w:lang w:val="en-US" w:eastAsia="zh-CN" w:bidi="ar"/>
              </w:rPr>
              <w:t>da válido, contado a partir da data de entrega; produto deve atender às normas da ANVISA e legislações vigentes.</w:t>
            </w:r>
          </w:p>
        </w:tc>
        <w:tc>
          <w:tcPr>
            <w:tcW w:w="1254" w:type="dxa"/>
            <w:shd w:val="clear" w:color="auto" w:fill="FFFFFF"/>
            <w:vAlign w:val="center"/>
          </w:tcPr>
          <w:p w14:paraId="14BB250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12DFD3E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400 g</w:t>
            </w:r>
          </w:p>
        </w:tc>
        <w:tc>
          <w:tcPr>
            <w:tcW w:w="744" w:type="dxa"/>
            <w:shd w:val="clear" w:color="auto" w:fill="FFFFFF"/>
            <w:vAlign w:val="center"/>
          </w:tcPr>
          <w:p w14:paraId="225E9D9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510</w:t>
            </w:r>
          </w:p>
        </w:tc>
        <w:tc>
          <w:tcPr>
            <w:tcW w:w="1074" w:type="dxa"/>
            <w:shd w:val="clear" w:color="auto" w:fill="FFFFFF"/>
            <w:vAlign w:val="center"/>
          </w:tcPr>
          <w:p w14:paraId="0236431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05535DD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FFFFF"/>
            <w:vAlign w:val="center"/>
          </w:tcPr>
          <w:p w14:paraId="127D2E4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57A9397E">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784" w:hRule="atLeast"/>
        </w:trPr>
        <w:tc>
          <w:tcPr>
            <w:tcW w:w="480" w:type="dxa"/>
            <w:vMerge w:val="continue"/>
            <w:shd w:val="clear" w:color="auto" w:fill="FFFFFF"/>
            <w:vAlign w:val="center"/>
          </w:tcPr>
          <w:p w14:paraId="2A43C98D">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2FF13A7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pt-BR" w:eastAsia="zh-CN" w:bidi="ar"/>
              </w:rPr>
              <w:t>2</w:t>
            </w:r>
          </w:p>
        </w:tc>
        <w:tc>
          <w:tcPr>
            <w:tcW w:w="792" w:type="dxa"/>
            <w:shd w:val="clear" w:color="auto" w:fill="FFFFFF"/>
            <w:vAlign w:val="center"/>
          </w:tcPr>
          <w:p w14:paraId="655CA7D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87863</w:t>
            </w:r>
          </w:p>
        </w:tc>
        <w:tc>
          <w:tcPr>
            <w:tcW w:w="6839" w:type="dxa"/>
            <w:shd w:val="clear" w:color="auto" w:fill="FFFFFF"/>
            <w:vAlign w:val="center"/>
          </w:tcPr>
          <w:p w14:paraId="7AB18F70">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Leite em Pó Sem Lactose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sem lactose; adequado para uso em preparações alimentícias, como bebidas, sobremesas e receitas culinárias; validade mínima de 80% do prazo inicial ainda válido, contado a partir da data de entrega; produto deve atender às normas da ANVISA e legislações vigentes.</w:t>
            </w:r>
          </w:p>
        </w:tc>
        <w:tc>
          <w:tcPr>
            <w:tcW w:w="1254" w:type="dxa"/>
            <w:shd w:val="clear" w:color="auto" w:fill="FFFFFF"/>
            <w:vAlign w:val="center"/>
          </w:tcPr>
          <w:p w14:paraId="369C3E4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0C8DC5F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400 g</w:t>
            </w:r>
          </w:p>
        </w:tc>
        <w:tc>
          <w:tcPr>
            <w:tcW w:w="744" w:type="dxa"/>
            <w:shd w:val="clear" w:color="auto" w:fill="FFFFFF"/>
            <w:vAlign w:val="center"/>
          </w:tcPr>
          <w:p w14:paraId="7CF90B0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FFFFF"/>
            <w:vAlign w:val="center"/>
          </w:tcPr>
          <w:p w14:paraId="660D5E3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0A610CF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FFFFF"/>
            <w:vAlign w:val="center"/>
          </w:tcPr>
          <w:p w14:paraId="205426F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28A897FC">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866" w:hRule="atLeast"/>
        </w:trPr>
        <w:tc>
          <w:tcPr>
            <w:tcW w:w="480" w:type="dxa"/>
            <w:shd w:val="clear" w:color="auto" w:fill="FBE4E8"/>
            <w:vAlign w:val="center"/>
          </w:tcPr>
          <w:p w14:paraId="64C3F04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09</w:t>
            </w:r>
          </w:p>
        </w:tc>
        <w:tc>
          <w:tcPr>
            <w:tcW w:w="448" w:type="dxa"/>
            <w:shd w:val="clear" w:color="auto" w:fill="FBE4E8"/>
            <w:vAlign w:val="center"/>
          </w:tcPr>
          <w:p w14:paraId="684FD1F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2602401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87864</w:t>
            </w:r>
          </w:p>
        </w:tc>
        <w:tc>
          <w:tcPr>
            <w:tcW w:w="6839" w:type="dxa"/>
            <w:shd w:val="clear" w:color="auto" w:fill="FBE4E8"/>
            <w:vAlign w:val="center"/>
          </w:tcPr>
          <w:p w14:paraId="1A432315">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Complemento Alimentar (tipo Sustagen):</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suplementação nutricional; adequado para uso em dietas que necessitam de reforço alimentar; validade mínima de 80% do prazo inicial ainda válido, contado a partir da data de entrega; produto deve atender às normas da ANVISA e legislações vigentes.</w:t>
            </w:r>
          </w:p>
        </w:tc>
        <w:tc>
          <w:tcPr>
            <w:tcW w:w="1254" w:type="dxa"/>
            <w:shd w:val="clear" w:color="auto" w:fill="FBE4E8"/>
            <w:vAlign w:val="center"/>
          </w:tcPr>
          <w:p w14:paraId="16E2D5D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1899758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350 g</w:t>
            </w:r>
          </w:p>
        </w:tc>
        <w:tc>
          <w:tcPr>
            <w:tcW w:w="744" w:type="dxa"/>
            <w:shd w:val="clear" w:color="auto" w:fill="FBE4E8"/>
            <w:vAlign w:val="center"/>
          </w:tcPr>
          <w:p w14:paraId="06EDDBB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51D7186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6209130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29B1337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01B2168">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295" w:hRule="atLeast"/>
        </w:trPr>
        <w:tc>
          <w:tcPr>
            <w:tcW w:w="480" w:type="dxa"/>
            <w:shd w:val="clear" w:color="auto" w:fill="FFFFFF"/>
            <w:vAlign w:val="center"/>
          </w:tcPr>
          <w:p w14:paraId="1722A0F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10</w:t>
            </w:r>
          </w:p>
        </w:tc>
        <w:tc>
          <w:tcPr>
            <w:tcW w:w="448" w:type="dxa"/>
            <w:shd w:val="clear" w:color="auto" w:fill="FFFFFF"/>
            <w:vAlign w:val="center"/>
          </w:tcPr>
          <w:p w14:paraId="4359697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3FC68C6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87865</w:t>
            </w:r>
          </w:p>
        </w:tc>
        <w:tc>
          <w:tcPr>
            <w:tcW w:w="6839" w:type="dxa"/>
            <w:shd w:val="clear" w:color="auto" w:fill="FFFFFF"/>
            <w:vAlign w:val="center"/>
          </w:tcPr>
          <w:p w14:paraId="5C1F2F8C">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Molho de Tomate: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massas, pizzas e pratos diversos; validade mínima de 80% do prazo inicial ainda válido, contado a partir da data de entrega; produto deve atender às normas da ANVISA e legislações vigentes.</w:t>
            </w:r>
          </w:p>
        </w:tc>
        <w:tc>
          <w:tcPr>
            <w:tcW w:w="1254" w:type="dxa"/>
            <w:shd w:val="clear" w:color="auto" w:fill="FFFFFF"/>
            <w:vAlign w:val="center"/>
          </w:tcPr>
          <w:p w14:paraId="5AF9E80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06F1E02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300 g</w:t>
            </w:r>
          </w:p>
        </w:tc>
        <w:tc>
          <w:tcPr>
            <w:tcW w:w="744" w:type="dxa"/>
            <w:shd w:val="clear" w:color="auto" w:fill="FFFFFF"/>
            <w:vAlign w:val="center"/>
          </w:tcPr>
          <w:p w14:paraId="110D982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5168</w:t>
            </w:r>
          </w:p>
        </w:tc>
        <w:tc>
          <w:tcPr>
            <w:tcW w:w="1074" w:type="dxa"/>
            <w:shd w:val="clear" w:color="auto" w:fill="FFFFFF"/>
            <w:vAlign w:val="center"/>
          </w:tcPr>
          <w:p w14:paraId="3DC7495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1FF922F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6BFA0AC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6BA0B3E">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543" w:hRule="atLeast"/>
        </w:trPr>
        <w:tc>
          <w:tcPr>
            <w:tcW w:w="480" w:type="dxa"/>
            <w:vMerge w:val="restart"/>
            <w:shd w:val="clear" w:color="auto" w:fill="FBE4E8"/>
            <w:vAlign w:val="center"/>
          </w:tcPr>
          <w:p w14:paraId="5EAB641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11</w:t>
            </w:r>
          </w:p>
        </w:tc>
        <w:tc>
          <w:tcPr>
            <w:tcW w:w="448" w:type="dxa"/>
            <w:shd w:val="clear" w:color="auto" w:fill="FBE4E8"/>
            <w:vAlign w:val="center"/>
          </w:tcPr>
          <w:p w14:paraId="5EC4A81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55D5EA1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87866</w:t>
            </w:r>
          </w:p>
        </w:tc>
        <w:tc>
          <w:tcPr>
            <w:tcW w:w="6839" w:type="dxa"/>
            <w:shd w:val="clear" w:color="auto" w:fill="FBE4E8"/>
            <w:vAlign w:val="center"/>
          </w:tcPr>
          <w:p w14:paraId="20BB49FF">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Ketchup:</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lanches, hambúrgueres e batatas fritas; validade mínima de 80% do pazo inicial ainda válido, contado a partir da data de entrega; produto deve atender às normas da ANVISA e legislações vigentes.</w:t>
            </w:r>
          </w:p>
        </w:tc>
        <w:tc>
          <w:tcPr>
            <w:tcW w:w="1254" w:type="dxa"/>
            <w:shd w:val="clear" w:color="auto" w:fill="FBE4E8"/>
            <w:vAlign w:val="center"/>
          </w:tcPr>
          <w:p w14:paraId="080B12E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3C1C186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400 g</w:t>
            </w:r>
          </w:p>
        </w:tc>
        <w:tc>
          <w:tcPr>
            <w:tcW w:w="744" w:type="dxa"/>
            <w:shd w:val="clear" w:color="auto" w:fill="FBE4E8"/>
            <w:vAlign w:val="center"/>
          </w:tcPr>
          <w:p w14:paraId="6C69600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600</w:t>
            </w:r>
          </w:p>
        </w:tc>
        <w:tc>
          <w:tcPr>
            <w:tcW w:w="1074" w:type="dxa"/>
            <w:shd w:val="clear" w:color="auto" w:fill="FBE4E8"/>
            <w:vAlign w:val="center"/>
          </w:tcPr>
          <w:p w14:paraId="258CD73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0D81F61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BE4E8"/>
            <w:vAlign w:val="center"/>
          </w:tcPr>
          <w:p w14:paraId="1F15992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393C6049">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32" w:hRule="atLeast"/>
        </w:trPr>
        <w:tc>
          <w:tcPr>
            <w:tcW w:w="480" w:type="dxa"/>
            <w:vMerge w:val="continue"/>
            <w:shd w:val="clear" w:color="auto" w:fill="FBE4E8"/>
            <w:vAlign w:val="center"/>
          </w:tcPr>
          <w:p w14:paraId="385E25FE">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13A6F02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69A809D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87867</w:t>
            </w:r>
          </w:p>
        </w:tc>
        <w:tc>
          <w:tcPr>
            <w:tcW w:w="6839" w:type="dxa"/>
            <w:shd w:val="clear" w:color="auto" w:fill="FBE4E8"/>
            <w:vAlign w:val="center"/>
          </w:tcPr>
          <w:p w14:paraId="7710C757">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Mostarda: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lanches, sanduíches e saladas; validade mínima de 80% do prazo inicial ainda válido, contado a partir da data de entrega; produto deve atender às normas da ANVISA e legislações vigentes.</w:t>
            </w:r>
          </w:p>
        </w:tc>
        <w:tc>
          <w:tcPr>
            <w:tcW w:w="1254" w:type="dxa"/>
            <w:shd w:val="clear" w:color="auto" w:fill="FBE4E8"/>
            <w:vAlign w:val="center"/>
          </w:tcPr>
          <w:p w14:paraId="2926DBA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716B0B8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180 g</w:t>
            </w:r>
          </w:p>
        </w:tc>
        <w:tc>
          <w:tcPr>
            <w:tcW w:w="744" w:type="dxa"/>
            <w:shd w:val="clear" w:color="auto" w:fill="FBE4E8"/>
            <w:vAlign w:val="center"/>
          </w:tcPr>
          <w:p w14:paraId="6AE4DCB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555</w:t>
            </w:r>
          </w:p>
        </w:tc>
        <w:tc>
          <w:tcPr>
            <w:tcW w:w="1074" w:type="dxa"/>
            <w:shd w:val="clear" w:color="auto" w:fill="FBE4E8"/>
            <w:vAlign w:val="center"/>
          </w:tcPr>
          <w:p w14:paraId="3E4D45A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2936ED0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6DA1EA6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B9F64A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15" w:hRule="atLeast"/>
        </w:trPr>
        <w:tc>
          <w:tcPr>
            <w:tcW w:w="480" w:type="dxa"/>
            <w:vMerge w:val="continue"/>
            <w:shd w:val="clear" w:color="auto" w:fill="FBE4E8"/>
            <w:vAlign w:val="center"/>
          </w:tcPr>
          <w:p w14:paraId="4D01DD2C">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1A1106A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62C35A7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87868</w:t>
            </w:r>
          </w:p>
        </w:tc>
        <w:tc>
          <w:tcPr>
            <w:tcW w:w="6839" w:type="dxa"/>
            <w:shd w:val="clear" w:color="auto" w:fill="FBE4E8"/>
            <w:vAlign w:val="center"/>
          </w:tcPr>
          <w:p w14:paraId="3535047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Maionese: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sanduíches, saladas e pratos frios; validade mínima de 80% do prazo inicial ainda válido, contado a partir da data de entrega; produto deve atender às normas da ANVISA e legislações vigentes.</w:t>
            </w:r>
          </w:p>
        </w:tc>
        <w:tc>
          <w:tcPr>
            <w:tcW w:w="1254" w:type="dxa"/>
            <w:shd w:val="clear" w:color="auto" w:fill="FBE4E8"/>
            <w:vAlign w:val="center"/>
          </w:tcPr>
          <w:p w14:paraId="671CDD7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2284A44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0D00389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580</w:t>
            </w:r>
          </w:p>
        </w:tc>
        <w:tc>
          <w:tcPr>
            <w:tcW w:w="1074" w:type="dxa"/>
            <w:shd w:val="clear" w:color="auto" w:fill="FBE4E8"/>
            <w:vAlign w:val="center"/>
          </w:tcPr>
          <w:p w14:paraId="6B52AA1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21BA9B9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67B03C8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D527D9E">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654" w:hRule="atLeast"/>
        </w:trPr>
        <w:tc>
          <w:tcPr>
            <w:tcW w:w="480" w:type="dxa"/>
            <w:shd w:val="clear" w:color="auto" w:fill="FFFFFF"/>
            <w:vAlign w:val="center"/>
          </w:tcPr>
          <w:p w14:paraId="7748063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12</w:t>
            </w:r>
          </w:p>
        </w:tc>
        <w:tc>
          <w:tcPr>
            <w:tcW w:w="448" w:type="dxa"/>
            <w:shd w:val="clear" w:color="auto" w:fill="FFFFFF"/>
            <w:vAlign w:val="center"/>
          </w:tcPr>
          <w:p w14:paraId="2864D39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25DDE15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87869</w:t>
            </w:r>
          </w:p>
        </w:tc>
        <w:tc>
          <w:tcPr>
            <w:tcW w:w="6839" w:type="dxa"/>
            <w:shd w:val="clear" w:color="auto" w:fill="FFFFFF"/>
            <w:vAlign w:val="center"/>
          </w:tcPr>
          <w:p w14:paraId="395DDB6E">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Molho de Pimenta: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carnes, petiscos e pratos apimentados; validade mínima de 80% do prazo inicial ainda válido, contado a partir da data de entrega; produto deve atender às normas da ANVISA e legislações vigentes.</w:t>
            </w:r>
          </w:p>
        </w:tc>
        <w:tc>
          <w:tcPr>
            <w:tcW w:w="1254" w:type="dxa"/>
            <w:shd w:val="clear" w:color="auto" w:fill="FFFFFF"/>
            <w:vAlign w:val="center"/>
          </w:tcPr>
          <w:p w14:paraId="661BECA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1C625E4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145 g</w:t>
            </w:r>
          </w:p>
        </w:tc>
        <w:tc>
          <w:tcPr>
            <w:tcW w:w="744" w:type="dxa"/>
            <w:shd w:val="clear" w:color="auto" w:fill="FFFFFF"/>
            <w:vAlign w:val="center"/>
          </w:tcPr>
          <w:p w14:paraId="6E78823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w:t>
            </w:r>
          </w:p>
        </w:tc>
        <w:tc>
          <w:tcPr>
            <w:tcW w:w="1074" w:type="dxa"/>
            <w:shd w:val="clear" w:color="auto" w:fill="FFFFFF"/>
            <w:vAlign w:val="center"/>
          </w:tcPr>
          <w:p w14:paraId="5606D92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2568D8A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2B5F74C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F980DA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54" w:hRule="atLeast"/>
        </w:trPr>
        <w:tc>
          <w:tcPr>
            <w:tcW w:w="480" w:type="dxa"/>
            <w:vMerge w:val="restart"/>
            <w:shd w:val="clear" w:color="auto" w:fill="FBE4E8"/>
            <w:vAlign w:val="center"/>
          </w:tcPr>
          <w:p w14:paraId="61651E9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13</w:t>
            </w:r>
          </w:p>
        </w:tc>
        <w:tc>
          <w:tcPr>
            <w:tcW w:w="448" w:type="dxa"/>
            <w:shd w:val="clear" w:color="auto" w:fill="FBE4E8"/>
            <w:vAlign w:val="center"/>
          </w:tcPr>
          <w:p w14:paraId="4E9B2F7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3CF781E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87870</w:t>
            </w:r>
          </w:p>
        </w:tc>
        <w:tc>
          <w:tcPr>
            <w:tcW w:w="6839" w:type="dxa"/>
            <w:shd w:val="clear" w:color="auto" w:fill="FBE4E8"/>
            <w:vAlign w:val="center"/>
          </w:tcPr>
          <w:p w14:paraId="7000B988">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Concentrado (Caju):</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sobremesas e receitas diversas; validade mínima de 80% do prazo inicial ainda válido, contado a partir da data de entrega; produto deve atender às normas da ANVISA e legislações vigentes.</w:t>
            </w:r>
          </w:p>
        </w:tc>
        <w:tc>
          <w:tcPr>
            <w:tcW w:w="1254" w:type="dxa"/>
            <w:shd w:val="clear" w:color="auto" w:fill="FBE4E8"/>
            <w:vAlign w:val="center"/>
          </w:tcPr>
          <w:p w14:paraId="2A53044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D9CE09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mL</w:t>
            </w:r>
          </w:p>
        </w:tc>
        <w:tc>
          <w:tcPr>
            <w:tcW w:w="744" w:type="dxa"/>
            <w:shd w:val="clear" w:color="auto" w:fill="FBE4E8"/>
            <w:vAlign w:val="center"/>
          </w:tcPr>
          <w:p w14:paraId="549448B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1620</w:t>
            </w:r>
          </w:p>
        </w:tc>
        <w:tc>
          <w:tcPr>
            <w:tcW w:w="1074" w:type="dxa"/>
            <w:shd w:val="clear" w:color="auto" w:fill="FBE4E8"/>
            <w:vAlign w:val="center"/>
          </w:tcPr>
          <w:p w14:paraId="268EF62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299D40C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BE4E8"/>
            <w:vAlign w:val="center"/>
          </w:tcPr>
          <w:p w14:paraId="2E42F5C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74AF4CBC">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843" w:hRule="atLeast"/>
        </w:trPr>
        <w:tc>
          <w:tcPr>
            <w:tcW w:w="480" w:type="dxa"/>
            <w:vMerge w:val="continue"/>
            <w:shd w:val="clear" w:color="auto" w:fill="FBE4E8"/>
            <w:vAlign w:val="center"/>
          </w:tcPr>
          <w:p w14:paraId="53D43CBD">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4100DF9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20B76A8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87871</w:t>
            </w:r>
          </w:p>
        </w:tc>
        <w:tc>
          <w:tcPr>
            <w:tcW w:w="6839" w:type="dxa"/>
            <w:shd w:val="clear" w:color="auto" w:fill="FBE4E8"/>
            <w:vAlign w:val="center"/>
          </w:tcPr>
          <w:p w14:paraId="27646FA8">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Concentrado (Maracujá):</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w:t>
            </w:r>
            <w:r>
              <w:rPr>
                <w:rFonts w:hint="default" w:ascii="Arial Nova Cond" w:hAnsi="Arial Nova Cond" w:eastAsia="Times New Roman" w:cs="Arial Nova Cond"/>
                <w:color w:val="000000"/>
                <w:kern w:val="0"/>
                <w:sz w:val="16"/>
                <w:szCs w:val="16"/>
                <w:u w:val="none"/>
                <w:vertAlign w:val="baseline"/>
                <w:lang w:val="en-US" w:eastAsia="en-US" w:bidi="ar"/>
              </w:rPr>
              <w:pict>
                <v:shape id="_x0000_s1059" o:spid="_x0000_s1059" o:spt="172" type="#_x0000_t172" style="position:absolute;left:0pt;margin-left:92.9pt;margin-top:-41.25pt;height:129.55pt;width:394.2pt;rotation:-1376256f;z-index:251678720;mso-width-relative:page;mso-height-relative:page;" fillcolor="#000000" filled="t" stroked="t" coordsize="21600,21600" adj="12000">
                  <v:path/>
                  <v:fill on="t" color2="#FFFFFF" opacity="11141f" focussize="0,0"/>
                  <v:stroke/>
                  <v:imagedata o:title=""/>
                  <o:lock v:ext="edit" aspectratio="f"/>
                  <v:textpath on="t" fitshape="t" fitpath="t" trim="t" xscale="f" string="MODELO" style="font-family:Arial Black;font-size:36pt;v-text-align:center;"/>
                </v:shape>
              </w:pict>
            </w:r>
            <w:r>
              <w:rPr>
                <w:rFonts w:hint="default" w:ascii="Arial Nova Cond" w:hAnsi="Arial Nova Cond" w:eastAsia="Aptos Narrow" w:cs="Arial Nova Cond"/>
                <w:i w:val="0"/>
                <w:iCs w:val="0"/>
                <w:color w:val="000000"/>
                <w:kern w:val="0"/>
                <w:sz w:val="18"/>
                <w:szCs w:val="18"/>
                <w:u w:val="none"/>
                <w:lang w:val="en-US" w:eastAsia="zh-CN" w:bidi="ar"/>
              </w:rPr>
              <w:t>es culinárias, como bebidas, sobremesas e receitas diversas; validade mínima de 80% do prazo inicial ainda válido, contado a partir da data de entrega; produto deve atender às normas da ANVISA e legislações vigentes.</w:t>
            </w:r>
          </w:p>
        </w:tc>
        <w:tc>
          <w:tcPr>
            <w:tcW w:w="1254" w:type="dxa"/>
            <w:shd w:val="clear" w:color="auto" w:fill="FBE4E8"/>
            <w:vAlign w:val="center"/>
          </w:tcPr>
          <w:p w14:paraId="7BC0A1C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445F90B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mL</w:t>
            </w:r>
          </w:p>
        </w:tc>
        <w:tc>
          <w:tcPr>
            <w:tcW w:w="744" w:type="dxa"/>
            <w:shd w:val="clear" w:color="auto" w:fill="FBE4E8"/>
            <w:vAlign w:val="center"/>
          </w:tcPr>
          <w:p w14:paraId="0619766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1620</w:t>
            </w:r>
          </w:p>
        </w:tc>
        <w:tc>
          <w:tcPr>
            <w:tcW w:w="1074" w:type="dxa"/>
            <w:shd w:val="clear" w:color="auto" w:fill="FBE4E8"/>
            <w:vAlign w:val="center"/>
          </w:tcPr>
          <w:p w14:paraId="120081A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6886116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62CEB2C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0AC673E">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47" w:hRule="atLeast"/>
        </w:trPr>
        <w:tc>
          <w:tcPr>
            <w:tcW w:w="480" w:type="dxa"/>
            <w:vMerge w:val="continue"/>
            <w:shd w:val="clear" w:color="auto" w:fill="FBE4E8"/>
            <w:vAlign w:val="center"/>
          </w:tcPr>
          <w:p w14:paraId="6F596181">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0AD3B82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0D172B1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87872</w:t>
            </w:r>
          </w:p>
        </w:tc>
        <w:tc>
          <w:tcPr>
            <w:tcW w:w="6839" w:type="dxa"/>
            <w:shd w:val="clear" w:color="auto" w:fill="FBE4E8"/>
            <w:vAlign w:val="center"/>
          </w:tcPr>
          <w:p w14:paraId="0414E170">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Concentrado (Uva):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sobremesas e receitas diversas; sabores diversos, incluindo: caju, maracujá e uva; validade mínima de 80% do prazo inicial ainda válido, contado a partir da data de entrega; produto deve atender às normas da ANVISA e legislações vigentes.</w:t>
            </w:r>
          </w:p>
        </w:tc>
        <w:tc>
          <w:tcPr>
            <w:tcW w:w="1254" w:type="dxa"/>
            <w:shd w:val="clear" w:color="auto" w:fill="FBE4E8"/>
            <w:vAlign w:val="center"/>
          </w:tcPr>
          <w:p w14:paraId="134A276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7D61ADC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mL</w:t>
            </w:r>
          </w:p>
        </w:tc>
        <w:tc>
          <w:tcPr>
            <w:tcW w:w="744" w:type="dxa"/>
            <w:shd w:val="clear" w:color="auto" w:fill="FBE4E8"/>
            <w:vAlign w:val="center"/>
          </w:tcPr>
          <w:p w14:paraId="770AC60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1620</w:t>
            </w:r>
          </w:p>
        </w:tc>
        <w:tc>
          <w:tcPr>
            <w:tcW w:w="1074" w:type="dxa"/>
            <w:shd w:val="clear" w:color="auto" w:fill="FBE4E8"/>
            <w:vAlign w:val="center"/>
          </w:tcPr>
          <w:p w14:paraId="79FC2C1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231D5F1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6CD2F99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E81A3E7">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92" w:hRule="atLeast"/>
        </w:trPr>
        <w:tc>
          <w:tcPr>
            <w:tcW w:w="480" w:type="dxa"/>
            <w:vMerge w:val="restart"/>
            <w:shd w:val="clear" w:color="auto" w:fill="FFFFFF"/>
            <w:vAlign w:val="center"/>
          </w:tcPr>
          <w:p w14:paraId="448DB6C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14</w:t>
            </w:r>
          </w:p>
        </w:tc>
        <w:tc>
          <w:tcPr>
            <w:tcW w:w="448" w:type="dxa"/>
            <w:shd w:val="clear" w:color="auto" w:fill="FFFFFF"/>
            <w:vAlign w:val="center"/>
          </w:tcPr>
          <w:p w14:paraId="26B5F04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45D04C3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87873</w:t>
            </w:r>
          </w:p>
        </w:tc>
        <w:tc>
          <w:tcPr>
            <w:tcW w:w="6839" w:type="dxa"/>
            <w:shd w:val="clear" w:color="auto" w:fill="FFFFFF"/>
            <w:vAlign w:val="center"/>
          </w:tcPr>
          <w:p w14:paraId="69FF5F12">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Néctar da Fruta (200 mL):</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e sobremesas; sabores diversos, incluindo: maracujá, uva, laranja, entre outros; validade mínima de 80% do prazo inicial ainda válido, contado a partir da data de entrega; produto deve atender às normas da ANVISA e legislações vigentes.</w:t>
            </w:r>
          </w:p>
        </w:tc>
        <w:tc>
          <w:tcPr>
            <w:tcW w:w="1254" w:type="dxa"/>
            <w:shd w:val="clear" w:color="auto" w:fill="FFFFFF"/>
            <w:vAlign w:val="center"/>
          </w:tcPr>
          <w:p w14:paraId="0CF0B93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4DAC45C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mL</w:t>
            </w:r>
          </w:p>
        </w:tc>
        <w:tc>
          <w:tcPr>
            <w:tcW w:w="744" w:type="dxa"/>
            <w:shd w:val="clear" w:color="auto" w:fill="FFFFFF"/>
            <w:vAlign w:val="center"/>
          </w:tcPr>
          <w:p w14:paraId="59E5673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3000</w:t>
            </w:r>
          </w:p>
        </w:tc>
        <w:tc>
          <w:tcPr>
            <w:tcW w:w="1074" w:type="dxa"/>
            <w:shd w:val="clear" w:color="auto" w:fill="FFFFFF"/>
            <w:vAlign w:val="center"/>
          </w:tcPr>
          <w:p w14:paraId="6FAF3BF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397ACED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FFFFF"/>
            <w:vAlign w:val="center"/>
          </w:tcPr>
          <w:p w14:paraId="3CA97A0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2254234B">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81" w:hRule="atLeast"/>
        </w:trPr>
        <w:tc>
          <w:tcPr>
            <w:tcW w:w="480" w:type="dxa"/>
            <w:vMerge w:val="continue"/>
            <w:shd w:val="clear" w:color="auto" w:fill="FFFFFF"/>
            <w:vAlign w:val="center"/>
          </w:tcPr>
          <w:p w14:paraId="05CE671E">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729539B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FFFFF"/>
            <w:vAlign w:val="center"/>
          </w:tcPr>
          <w:p w14:paraId="4D6A50D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87874</w:t>
            </w:r>
          </w:p>
        </w:tc>
        <w:tc>
          <w:tcPr>
            <w:tcW w:w="6839" w:type="dxa"/>
            <w:shd w:val="clear" w:color="auto" w:fill="FFFFFF"/>
            <w:vAlign w:val="center"/>
          </w:tcPr>
          <w:p w14:paraId="5C240D2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Suco de Néctar da Fruta (1 L):</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bebidas e sobremesas; sabores diversos, incluindo: maracujá, uva, laranja, entre outros; validade mínima de 80% do prazo inicial ainda válido, contado a partir da data de entrega; produto deve atender às normas da ANVISA e legislações vigentes.</w:t>
            </w:r>
          </w:p>
        </w:tc>
        <w:tc>
          <w:tcPr>
            <w:tcW w:w="1254" w:type="dxa"/>
            <w:shd w:val="clear" w:color="auto" w:fill="FFFFFF"/>
            <w:vAlign w:val="center"/>
          </w:tcPr>
          <w:p w14:paraId="02A70E2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43A724E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L</w:t>
            </w:r>
          </w:p>
        </w:tc>
        <w:tc>
          <w:tcPr>
            <w:tcW w:w="744" w:type="dxa"/>
            <w:shd w:val="clear" w:color="auto" w:fill="FFFFFF"/>
            <w:vAlign w:val="center"/>
          </w:tcPr>
          <w:p w14:paraId="2F4EFE7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1820</w:t>
            </w:r>
          </w:p>
        </w:tc>
        <w:tc>
          <w:tcPr>
            <w:tcW w:w="1074" w:type="dxa"/>
            <w:shd w:val="clear" w:color="auto" w:fill="FFFFFF"/>
            <w:vAlign w:val="center"/>
          </w:tcPr>
          <w:p w14:paraId="6C685CD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2F2290D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FFFFF"/>
            <w:vAlign w:val="center"/>
          </w:tcPr>
          <w:p w14:paraId="14A6887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577511D6">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19" w:hRule="atLeast"/>
        </w:trPr>
        <w:tc>
          <w:tcPr>
            <w:tcW w:w="480" w:type="dxa"/>
            <w:vMerge w:val="restart"/>
            <w:shd w:val="clear" w:color="auto" w:fill="FBE4E8"/>
            <w:vAlign w:val="center"/>
          </w:tcPr>
          <w:p w14:paraId="19AC63C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15</w:t>
            </w:r>
          </w:p>
        </w:tc>
        <w:tc>
          <w:tcPr>
            <w:tcW w:w="448" w:type="dxa"/>
            <w:shd w:val="clear" w:color="auto" w:fill="FBE4E8"/>
            <w:vAlign w:val="center"/>
          </w:tcPr>
          <w:p w14:paraId="2E162D9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1</w:t>
            </w:r>
          </w:p>
        </w:tc>
        <w:tc>
          <w:tcPr>
            <w:tcW w:w="792" w:type="dxa"/>
            <w:shd w:val="clear" w:color="auto" w:fill="FBE4E8"/>
            <w:vAlign w:val="center"/>
          </w:tcPr>
          <w:p w14:paraId="7EADA60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en-US" w:eastAsia="zh-CN" w:bidi="ar"/>
              </w:rPr>
              <w:t>8787</w:t>
            </w:r>
            <w:r>
              <w:rPr>
                <w:rFonts w:hint="default" w:ascii="Arial Nova Cond" w:hAnsi="Arial Nova Cond" w:eastAsia="Aptos Narrow" w:cs="Arial Nova Cond"/>
                <w:b w:val="0"/>
                <w:bCs w:val="0"/>
                <w:i w:val="0"/>
                <w:iCs w:val="0"/>
                <w:color w:val="000000"/>
                <w:kern w:val="0"/>
                <w:sz w:val="18"/>
                <w:szCs w:val="18"/>
                <w:u w:val="none"/>
                <w:lang w:val="pt-BR" w:eastAsia="zh-CN" w:bidi="ar"/>
              </w:rPr>
              <w:t>5</w:t>
            </w:r>
          </w:p>
        </w:tc>
        <w:tc>
          <w:tcPr>
            <w:tcW w:w="6839" w:type="dxa"/>
            <w:shd w:val="clear" w:color="auto" w:fill="FBE4E8"/>
            <w:vAlign w:val="center"/>
          </w:tcPr>
          <w:p w14:paraId="62BD2977">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Gelatina Dietética: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sobremesas, mousses e pratos dietéticos; sabores diversos; validade mínima de 80% do prazo inicial ainda válido, contado a partir da data de entrega; produto deve atender às normas da ANVISA e legislações vigentes.</w:t>
            </w:r>
          </w:p>
        </w:tc>
        <w:tc>
          <w:tcPr>
            <w:tcW w:w="1254" w:type="dxa"/>
            <w:shd w:val="clear" w:color="auto" w:fill="FBE4E8"/>
            <w:vAlign w:val="center"/>
          </w:tcPr>
          <w:p w14:paraId="0AB7536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176B6B0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12 g</w:t>
            </w:r>
          </w:p>
        </w:tc>
        <w:tc>
          <w:tcPr>
            <w:tcW w:w="744" w:type="dxa"/>
            <w:shd w:val="clear" w:color="auto" w:fill="FBE4E8"/>
            <w:vAlign w:val="center"/>
          </w:tcPr>
          <w:p w14:paraId="5C35720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1500</w:t>
            </w:r>
          </w:p>
        </w:tc>
        <w:tc>
          <w:tcPr>
            <w:tcW w:w="1074" w:type="dxa"/>
            <w:shd w:val="clear" w:color="auto" w:fill="FBE4E8"/>
            <w:vAlign w:val="center"/>
          </w:tcPr>
          <w:p w14:paraId="67339D4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5834997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BE4E8"/>
            <w:vAlign w:val="center"/>
          </w:tcPr>
          <w:p w14:paraId="7EF9AEF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52613254">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268" w:hRule="atLeast"/>
        </w:trPr>
        <w:tc>
          <w:tcPr>
            <w:tcW w:w="480" w:type="dxa"/>
            <w:vMerge w:val="continue"/>
            <w:shd w:val="clear" w:color="auto" w:fill="FBE4E8"/>
            <w:vAlign w:val="center"/>
          </w:tcPr>
          <w:p w14:paraId="1A789B95">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56D94D3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5162C04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en-US" w:eastAsia="zh-CN" w:bidi="ar"/>
              </w:rPr>
              <w:t>8787</w:t>
            </w:r>
            <w:r>
              <w:rPr>
                <w:rFonts w:hint="default" w:ascii="Arial Nova Cond" w:hAnsi="Arial Nova Cond" w:eastAsia="Aptos Narrow" w:cs="Arial Nova Cond"/>
                <w:b w:val="0"/>
                <w:bCs w:val="0"/>
                <w:i w:val="0"/>
                <w:iCs w:val="0"/>
                <w:color w:val="000000"/>
                <w:kern w:val="0"/>
                <w:sz w:val="18"/>
                <w:szCs w:val="18"/>
                <w:u w:val="none"/>
                <w:lang w:val="pt-BR" w:eastAsia="zh-CN" w:bidi="ar"/>
              </w:rPr>
              <w:t>6</w:t>
            </w:r>
          </w:p>
        </w:tc>
        <w:tc>
          <w:tcPr>
            <w:tcW w:w="6839" w:type="dxa"/>
            <w:shd w:val="clear" w:color="auto" w:fill="FBE4E8"/>
            <w:vAlign w:val="center"/>
          </w:tcPr>
          <w:p w14:paraId="3120350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Gelatina: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sobremesas, mousses e outros pratos doces; validade mínima de 80% do prazo inicial ainda válido, contado a partir da data de entrega; produto deve atender às normas da ANVISA e legislações vigentes.</w:t>
            </w:r>
          </w:p>
        </w:tc>
        <w:tc>
          <w:tcPr>
            <w:tcW w:w="1254" w:type="dxa"/>
            <w:shd w:val="clear" w:color="auto" w:fill="FBE4E8"/>
            <w:vAlign w:val="center"/>
          </w:tcPr>
          <w:p w14:paraId="13FFF22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4388C7C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20g</w:t>
            </w:r>
          </w:p>
        </w:tc>
        <w:tc>
          <w:tcPr>
            <w:tcW w:w="744" w:type="dxa"/>
            <w:shd w:val="clear" w:color="auto" w:fill="FBE4E8"/>
            <w:vAlign w:val="center"/>
          </w:tcPr>
          <w:p w14:paraId="6ED5AAF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10000</w:t>
            </w:r>
          </w:p>
        </w:tc>
        <w:tc>
          <w:tcPr>
            <w:tcW w:w="1074" w:type="dxa"/>
            <w:shd w:val="clear" w:color="auto" w:fill="FBE4E8"/>
            <w:vAlign w:val="center"/>
          </w:tcPr>
          <w:p w14:paraId="375EE37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7B6BE42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2D3E2A4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17CA6C2">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30" w:hRule="atLeast"/>
        </w:trPr>
        <w:tc>
          <w:tcPr>
            <w:tcW w:w="480" w:type="dxa"/>
            <w:vMerge w:val="continue"/>
            <w:shd w:val="clear" w:color="auto" w:fill="FBE4E8"/>
            <w:vAlign w:val="center"/>
          </w:tcPr>
          <w:p w14:paraId="4BA64A42">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7DCC91A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2D890FB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en-US" w:eastAsia="zh-CN" w:bidi="ar"/>
              </w:rPr>
              <w:t>8787</w:t>
            </w:r>
            <w:r>
              <w:rPr>
                <w:rFonts w:hint="default" w:ascii="Arial Nova Cond" w:hAnsi="Arial Nova Cond" w:eastAsia="Aptos Narrow" w:cs="Arial Nova Cond"/>
                <w:b w:val="0"/>
                <w:bCs w:val="0"/>
                <w:i w:val="0"/>
                <w:iCs w:val="0"/>
                <w:color w:val="000000"/>
                <w:kern w:val="0"/>
                <w:sz w:val="18"/>
                <w:szCs w:val="18"/>
                <w:u w:val="none"/>
                <w:lang w:val="pt-BR" w:eastAsia="zh-CN" w:bidi="ar"/>
              </w:rPr>
              <w:t>7</w:t>
            </w:r>
          </w:p>
        </w:tc>
        <w:tc>
          <w:tcPr>
            <w:tcW w:w="6839" w:type="dxa"/>
            <w:shd w:val="clear" w:color="auto" w:fill="FBE4E8"/>
            <w:vAlign w:val="center"/>
          </w:tcPr>
          <w:p w14:paraId="40CF7EB5">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Gelatina Sem Sabor:</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adequada para uso em preparações culinárias, como sobremesas, mousses, e outros pratos que necessitem de gelificação; validade mínima de 80% do prazo inicial ainda válido, contado a partir da data de entrega; produto deve atender às normas da ANVISA e legislações vigentes.</w:t>
            </w:r>
          </w:p>
        </w:tc>
        <w:tc>
          <w:tcPr>
            <w:tcW w:w="1254" w:type="dxa"/>
            <w:shd w:val="clear" w:color="auto" w:fill="FBE4E8"/>
            <w:vAlign w:val="center"/>
          </w:tcPr>
          <w:p w14:paraId="59E1800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45CF305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12 g</w:t>
            </w:r>
          </w:p>
        </w:tc>
        <w:tc>
          <w:tcPr>
            <w:tcW w:w="744" w:type="dxa"/>
            <w:shd w:val="clear" w:color="auto" w:fill="FBE4E8"/>
            <w:vAlign w:val="center"/>
          </w:tcPr>
          <w:p w14:paraId="28480EC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300</w:t>
            </w:r>
          </w:p>
        </w:tc>
        <w:tc>
          <w:tcPr>
            <w:tcW w:w="1074" w:type="dxa"/>
            <w:shd w:val="clear" w:color="auto" w:fill="FBE4E8"/>
            <w:vAlign w:val="center"/>
          </w:tcPr>
          <w:p w14:paraId="4294B46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68B51FC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BE4E8"/>
            <w:vAlign w:val="center"/>
          </w:tcPr>
          <w:p w14:paraId="58E44F8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EF3C4B3">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67" w:hRule="atLeast"/>
        </w:trPr>
        <w:tc>
          <w:tcPr>
            <w:tcW w:w="480" w:type="dxa"/>
            <w:shd w:val="clear" w:color="auto" w:fill="FFFFFF"/>
            <w:vAlign w:val="center"/>
          </w:tcPr>
          <w:p w14:paraId="3D42E92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16</w:t>
            </w:r>
          </w:p>
        </w:tc>
        <w:tc>
          <w:tcPr>
            <w:tcW w:w="448" w:type="dxa"/>
            <w:shd w:val="clear" w:color="auto" w:fill="FFFFFF"/>
            <w:vAlign w:val="center"/>
          </w:tcPr>
          <w:p w14:paraId="0565E2A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4872287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87878</w:t>
            </w:r>
          </w:p>
        </w:tc>
        <w:tc>
          <w:tcPr>
            <w:tcW w:w="6839" w:type="dxa"/>
            <w:shd w:val="clear" w:color="auto" w:fill="FFFFFF"/>
            <w:vAlign w:val="center"/>
          </w:tcPr>
          <w:p w14:paraId="0270A1C9">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Ovos Brancos de Galinha:</w:t>
            </w:r>
            <w:r>
              <w:rPr>
                <w:rFonts w:hint="default" w:ascii="Arial Nova Cond" w:hAnsi="Arial Nova Cond" w:eastAsia="Aptos Narrow" w:cs="Arial Nova Cond"/>
                <w:i w:val="0"/>
                <w:iCs w:val="0"/>
                <w:color w:val="000000"/>
                <w:kern w:val="0"/>
                <w:sz w:val="18"/>
                <w:szCs w:val="18"/>
                <w:u w:val="none"/>
                <w:lang w:val="en-US" w:eastAsia="zh-CN" w:bidi="ar"/>
              </w:rPr>
              <w:t xml:space="preserve"> de acordo com o permitido pela legislação vigente; adequados para uso em preparações culinárias, como bolos, tortas, omeletes e outros pratos; validade mínima de 80% do prazo inicial ainda válido, contado a partir da data de entrega; pro</w:t>
            </w:r>
            <w:r>
              <w:rPr>
                <w:rFonts w:hint="default" w:ascii="Arial Nova Cond" w:hAnsi="Arial Nova Cond" w:eastAsia="Times New Roman" w:cs="Arial Nova Cond"/>
                <w:color w:val="000000"/>
                <w:kern w:val="0"/>
                <w:sz w:val="16"/>
                <w:szCs w:val="16"/>
                <w:u w:val="none"/>
                <w:vertAlign w:val="baseline"/>
                <w:lang w:val="en-US" w:eastAsia="en-US" w:bidi="ar"/>
              </w:rPr>
              <w:pict>
                <v:shape id="_x0000_s1060" o:spid="_x0000_s1060" o:spt="172" type="#_x0000_t172" style="position:absolute;left:0pt;margin-left:92.9pt;margin-top:-18.5pt;height:129.55pt;width:394.2pt;rotation:-1376256f;z-index:251679744;mso-width-relative:page;mso-height-relative:page;" fillcolor="#000000" filled="t" stroked="t" coordsize="21600,21600" adj="12000">
                  <v:path/>
                  <v:fill on="t" color2="#FFFFFF" opacity="11141f" focussize="0,0"/>
                  <v:stroke/>
                  <v:imagedata o:title=""/>
                  <o:lock v:ext="edit" aspectratio="f"/>
                  <v:textpath on="t" fitshape="t" fitpath="t" trim="t" xscale="f" string="MODELO" style="font-family:Arial Black;font-size:36pt;v-text-align:center;"/>
                </v:shape>
              </w:pict>
            </w:r>
            <w:r>
              <w:rPr>
                <w:rFonts w:hint="default" w:ascii="Arial Nova Cond" w:hAnsi="Arial Nova Cond" w:eastAsia="Aptos Narrow" w:cs="Arial Nova Cond"/>
                <w:i w:val="0"/>
                <w:iCs w:val="0"/>
                <w:color w:val="000000"/>
                <w:kern w:val="0"/>
                <w:sz w:val="18"/>
                <w:szCs w:val="18"/>
                <w:u w:val="none"/>
                <w:lang w:val="en-US" w:eastAsia="zh-CN" w:bidi="ar"/>
              </w:rPr>
              <w:t>duto deve atender às normas da ANVISA e legislações vigentes.</w:t>
            </w:r>
          </w:p>
        </w:tc>
        <w:tc>
          <w:tcPr>
            <w:tcW w:w="1254" w:type="dxa"/>
            <w:shd w:val="clear" w:color="auto" w:fill="FFFFFF"/>
            <w:vAlign w:val="center"/>
          </w:tcPr>
          <w:p w14:paraId="76ECA3F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75A522B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Dúzia</w:t>
            </w:r>
          </w:p>
        </w:tc>
        <w:tc>
          <w:tcPr>
            <w:tcW w:w="744" w:type="dxa"/>
            <w:shd w:val="clear" w:color="auto" w:fill="FFFFFF"/>
            <w:vAlign w:val="center"/>
          </w:tcPr>
          <w:p w14:paraId="0C00D60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2010</w:t>
            </w:r>
          </w:p>
        </w:tc>
        <w:tc>
          <w:tcPr>
            <w:tcW w:w="1074" w:type="dxa"/>
            <w:shd w:val="clear" w:color="auto" w:fill="FFFFFF"/>
            <w:vAlign w:val="center"/>
          </w:tcPr>
          <w:p w14:paraId="556E839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79B30EA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3B491C7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0AFBD3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814" w:hRule="atLeast"/>
        </w:trPr>
        <w:tc>
          <w:tcPr>
            <w:tcW w:w="480" w:type="dxa"/>
            <w:shd w:val="clear" w:color="auto" w:fill="FBE4E8"/>
            <w:vAlign w:val="center"/>
          </w:tcPr>
          <w:p w14:paraId="6031F52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17</w:t>
            </w:r>
          </w:p>
        </w:tc>
        <w:tc>
          <w:tcPr>
            <w:tcW w:w="448" w:type="dxa"/>
            <w:shd w:val="clear" w:color="auto" w:fill="FBE4E8"/>
            <w:vAlign w:val="center"/>
          </w:tcPr>
          <w:p w14:paraId="6AB7656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1427213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87879</w:t>
            </w:r>
          </w:p>
        </w:tc>
        <w:tc>
          <w:tcPr>
            <w:tcW w:w="6839" w:type="dxa"/>
            <w:shd w:val="clear" w:color="auto" w:fill="FBE4E8"/>
            <w:vAlign w:val="center"/>
          </w:tcPr>
          <w:p w14:paraId="37AAAA0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Leite de Coco: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adequado para uso em preparações culinárias, como sobremesas e afins; validade mínima de 80% do prazo inicial ainda válido, contado a partir da data de entrega; produto deve atender às normas da ANVISA e legislações vigentes.</w:t>
            </w:r>
          </w:p>
        </w:tc>
        <w:tc>
          <w:tcPr>
            <w:tcW w:w="1254" w:type="dxa"/>
            <w:shd w:val="clear" w:color="auto" w:fill="FBE4E8"/>
            <w:vAlign w:val="center"/>
          </w:tcPr>
          <w:p w14:paraId="6261ECF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2538FBF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mL</w:t>
            </w:r>
          </w:p>
        </w:tc>
        <w:tc>
          <w:tcPr>
            <w:tcW w:w="744" w:type="dxa"/>
            <w:shd w:val="clear" w:color="auto" w:fill="FBE4E8"/>
            <w:vAlign w:val="center"/>
          </w:tcPr>
          <w:p w14:paraId="4D3DEC6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510</w:t>
            </w:r>
          </w:p>
        </w:tc>
        <w:tc>
          <w:tcPr>
            <w:tcW w:w="1074" w:type="dxa"/>
            <w:shd w:val="clear" w:color="auto" w:fill="FBE4E8"/>
            <w:vAlign w:val="center"/>
          </w:tcPr>
          <w:p w14:paraId="78128C1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19FBFB6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1B75631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DC75A16">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588" w:hRule="atLeast"/>
        </w:trPr>
        <w:tc>
          <w:tcPr>
            <w:tcW w:w="480" w:type="dxa"/>
            <w:shd w:val="clear" w:color="auto" w:fill="FFFFFF"/>
            <w:vAlign w:val="center"/>
          </w:tcPr>
          <w:p w14:paraId="5C406ED7">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18</w:t>
            </w:r>
          </w:p>
        </w:tc>
        <w:tc>
          <w:tcPr>
            <w:tcW w:w="448" w:type="dxa"/>
            <w:shd w:val="clear" w:color="auto" w:fill="FFFFFF"/>
            <w:vAlign w:val="center"/>
          </w:tcPr>
          <w:p w14:paraId="49512B3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43CD04B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87880</w:t>
            </w:r>
          </w:p>
        </w:tc>
        <w:tc>
          <w:tcPr>
            <w:tcW w:w="6839" w:type="dxa"/>
            <w:shd w:val="clear" w:color="auto" w:fill="FFFFFF"/>
            <w:vAlign w:val="center"/>
          </w:tcPr>
          <w:p w14:paraId="337142F3">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Achocolatado em Pó:</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pó fino, de cor marrom escuro, com aroma característico de cacau; adequado para uso em preparações culinárias, como bebidas, bolos, sobremesas e recheios; validade mínima de 80% do prazo inicial ainda válido, contado a partir da data de entrega; produto deve atender às normas da ANVISA e legislações vigentes.</w:t>
            </w:r>
          </w:p>
        </w:tc>
        <w:tc>
          <w:tcPr>
            <w:tcW w:w="1254" w:type="dxa"/>
            <w:shd w:val="clear" w:color="auto" w:fill="FFFFFF"/>
            <w:vAlign w:val="center"/>
          </w:tcPr>
          <w:p w14:paraId="1108F8D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346CCBC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350 g</w:t>
            </w:r>
          </w:p>
        </w:tc>
        <w:tc>
          <w:tcPr>
            <w:tcW w:w="744" w:type="dxa"/>
            <w:shd w:val="clear" w:color="auto" w:fill="FFFFFF"/>
            <w:vAlign w:val="center"/>
          </w:tcPr>
          <w:p w14:paraId="7ECACF0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1060</w:t>
            </w:r>
          </w:p>
        </w:tc>
        <w:tc>
          <w:tcPr>
            <w:tcW w:w="1074" w:type="dxa"/>
            <w:shd w:val="clear" w:color="auto" w:fill="FFFFFF"/>
            <w:vAlign w:val="center"/>
          </w:tcPr>
          <w:p w14:paraId="69BDD2B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5183364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07BB3FF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9A9492B">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95" w:hRule="atLeast"/>
        </w:trPr>
        <w:tc>
          <w:tcPr>
            <w:tcW w:w="480" w:type="dxa"/>
            <w:shd w:val="clear" w:color="auto" w:fill="FBE4E8"/>
            <w:vAlign w:val="center"/>
          </w:tcPr>
          <w:p w14:paraId="3308DB86">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19</w:t>
            </w:r>
          </w:p>
        </w:tc>
        <w:tc>
          <w:tcPr>
            <w:tcW w:w="448" w:type="dxa"/>
            <w:shd w:val="clear" w:color="auto" w:fill="FBE4E8"/>
            <w:vAlign w:val="center"/>
          </w:tcPr>
          <w:p w14:paraId="50E90B2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0F1CF1F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87881</w:t>
            </w:r>
          </w:p>
        </w:tc>
        <w:tc>
          <w:tcPr>
            <w:tcW w:w="6839" w:type="dxa"/>
            <w:shd w:val="clear" w:color="auto" w:fill="FBE4E8"/>
            <w:vAlign w:val="center"/>
          </w:tcPr>
          <w:p w14:paraId="211E3B4F">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Refresco em Pó:</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pó colorido, com aroma característico da fruta ou sabor artificial; adequado para uso em preparações culinárias, como bebidas refrescantes e receitas diversas; sabores diversos; validade mínima de 80% do prazo inicial ainda válido, contado a partir da data de entrega; produto deve atender às normas da ANVISA e legislações vigentes.</w:t>
            </w:r>
          </w:p>
        </w:tc>
        <w:tc>
          <w:tcPr>
            <w:tcW w:w="1254" w:type="dxa"/>
            <w:shd w:val="clear" w:color="auto" w:fill="FBE4E8"/>
            <w:vAlign w:val="center"/>
          </w:tcPr>
          <w:p w14:paraId="2BAA16B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C01961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18 g</w:t>
            </w:r>
          </w:p>
        </w:tc>
        <w:tc>
          <w:tcPr>
            <w:tcW w:w="744" w:type="dxa"/>
            <w:shd w:val="clear" w:color="auto" w:fill="FBE4E8"/>
            <w:vAlign w:val="center"/>
          </w:tcPr>
          <w:p w14:paraId="29DDECB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20500</w:t>
            </w:r>
          </w:p>
        </w:tc>
        <w:tc>
          <w:tcPr>
            <w:tcW w:w="1074" w:type="dxa"/>
            <w:shd w:val="clear" w:color="auto" w:fill="FBE4E8"/>
            <w:vAlign w:val="center"/>
          </w:tcPr>
          <w:p w14:paraId="41960D9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05BB089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7CBB8A8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0BD86ED6">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27" w:hRule="atLeast"/>
        </w:trPr>
        <w:tc>
          <w:tcPr>
            <w:tcW w:w="480" w:type="dxa"/>
            <w:shd w:val="clear" w:color="auto" w:fill="FFFFFF"/>
            <w:vAlign w:val="center"/>
          </w:tcPr>
          <w:p w14:paraId="002416BD">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w:t>
            </w:r>
          </w:p>
        </w:tc>
        <w:tc>
          <w:tcPr>
            <w:tcW w:w="448" w:type="dxa"/>
            <w:shd w:val="clear" w:color="auto" w:fill="FFFFFF"/>
            <w:vAlign w:val="center"/>
          </w:tcPr>
          <w:p w14:paraId="40E6847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315B220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87882</w:t>
            </w:r>
          </w:p>
        </w:tc>
        <w:tc>
          <w:tcPr>
            <w:tcW w:w="6839" w:type="dxa"/>
            <w:shd w:val="clear" w:color="auto" w:fill="FFFFFF"/>
            <w:vAlign w:val="center"/>
          </w:tcPr>
          <w:p w14:paraId="551FD2E6">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Refrigerante: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límpido e efervescente, com cor e sabor característicos do tipo de refrigerante; adequado para consumo direto ou em preparações culinárias, como bebidas em festas e eventos; sabores diversos, incluindo: guaraná, laranja e uva; validade mínima de 80% do prazo inicial ainda válido, contado a partir da data de entrega; produto deve atender às normas da ANVISA e legislações vigentes.</w:t>
            </w:r>
          </w:p>
        </w:tc>
        <w:tc>
          <w:tcPr>
            <w:tcW w:w="1254" w:type="dxa"/>
            <w:shd w:val="clear" w:color="auto" w:fill="FFFFFF"/>
            <w:vAlign w:val="center"/>
          </w:tcPr>
          <w:p w14:paraId="1F483A6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4342B24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 L</w:t>
            </w:r>
          </w:p>
        </w:tc>
        <w:tc>
          <w:tcPr>
            <w:tcW w:w="744" w:type="dxa"/>
            <w:shd w:val="clear" w:color="auto" w:fill="FFFFFF"/>
            <w:vAlign w:val="center"/>
          </w:tcPr>
          <w:p w14:paraId="30E80F0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7120</w:t>
            </w:r>
          </w:p>
        </w:tc>
        <w:tc>
          <w:tcPr>
            <w:tcW w:w="1074" w:type="dxa"/>
            <w:shd w:val="clear" w:color="auto" w:fill="FFFFFF"/>
            <w:vAlign w:val="center"/>
          </w:tcPr>
          <w:p w14:paraId="177203C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2736A43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227FBD7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50EFE0E">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52" w:hRule="atLeast"/>
        </w:trPr>
        <w:tc>
          <w:tcPr>
            <w:tcW w:w="480" w:type="dxa"/>
            <w:shd w:val="clear" w:color="auto" w:fill="FBE4E8"/>
            <w:vAlign w:val="center"/>
          </w:tcPr>
          <w:p w14:paraId="02EF435D">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21</w:t>
            </w:r>
          </w:p>
        </w:tc>
        <w:tc>
          <w:tcPr>
            <w:tcW w:w="448" w:type="dxa"/>
            <w:shd w:val="clear" w:color="auto" w:fill="FBE4E8"/>
            <w:vAlign w:val="center"/>
          </w:tcPr>
          <w:p w14:paraId="3D601AD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5775811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87883</w:t>
            </w:r>
          </w:p>
        </w:tc>
        <w:tc>
          <w:tcPr>
            <w:tcW w:w="6839" w:type="dxa"/>
            <w:shd w:val="clear" w:color="auto" w:fill="FBE4E8"/>
            <w:vAlign w:val="center"/>
          </w:tcPr>
          <w:p w14:paraId="46F76BC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Essência de Baunilha: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líquido, incolor ou ligeiramente amarelado, com aroma característico de baunilha; adequada para uso em preparações culinárias, como bolos, doces, sobremesas e receitas diversas; validade mínima de 80% do prazo inicial ainda válido, contado a partir da data de entrega; produto deve atender às normas da ANVISA e legislações vigentes.</w:t>
            </w:r>
          </w:p>
        </w:tc>
        <w:tc>
          <w:tcPr>
            <w:tcW w:w="1254" w:type="dxa"/>
            <w:shd w:val="clear" w:color="auto" w:fill="FBE4E8"/>
            <w:vAlign w:val="center"/>
          </w:tcPr>
          <w:p w14:paraId="02FED4D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189EAAB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30 mL</w:t>
            </w:r>
          </w:p>
        </w:tc>
        <w:tc>
          <w:tcPr>
            <w:tcW w:w="744" w:type="dxa"/>
            <w:shd w:val="clear" w:color="auto" w:fill="FBE4E8"/>
            <w:vAlign w:val="center"/>
          </w:tcPr>
          <w:p w14:paraId="72615D7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106</w:t>
            </w:r>
          </w:p>
        </w:tc>
        <w:tc>
          <w:tcPr>
            <w:tcW w:w="1074" w:type="dxa"/>
            <w:shd w:val="clear" w:color="auto" w:fill="FBE4E8"/>
            <w:vAlign w:val="center"/>
          </w:tcPr>
          <w:p w14:paraId="3D85601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391D86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383E699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818387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82" w:hRule="atLeast"/>
        </w:trPr>
        <w:tc>
          <w:tcPr>
            <w:tcW w:w="480" w:type="dxa"/>
            <w:shd w:val="clear" w:color="auto" w:fill="FFFFFF"/>
            <w:vAlign w:val="center"/>
          </w:tcPr>
          <w:p w14:paraId="23971A2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22</w:t>
            </w:r>
          </w:p>
        </w:tc>
        <w:tc>
          <w:tcPr>
            <w:tcW w:w="448" w:type="dxa"/>
            <w:shd w:val="clear" w:color="auto" w:fill="FFFFFF"/>
            <w:vAlign w:val="center"/>
          </w:tcPr>
          <w:p w14:paraId="5269681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0CA66BA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87884</w:t>
            </w:r>
          </w:p>
        </w:tc>
        <w:tc>
          <w:tcPr>
            <w:tcW w:w="6839" w:type="dxa"/>
            <w:shd w:val="clear" w:color="auto" w:fill="FFFFFF"/>
            <w:vAlign w:val="center"/>
          </w:tcPr>
          <w:p w14:paraId="6C6772AF">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Chocolate Granulado: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granulado, de cor marrom escuro, com sabor e aroma característicos de chocolate; adequado para uso em preparações culinárias, como coberturas de bolos, doces, sorvetes e confeitaria em geral; validade mínima de 80% do prazo inicial ainda válido, contado a partir da data de entrega; produto deve atender às normas da ANVISA e legislações vigentes.</w:t>
            </w:r>
          </w:p>
        </w:tc>
        <w:tc>
          <w:tcPr>
            <w:tcW w:w="1254" w:type="dxa"/>
            <w:shd w:val="clear" w:color="auto" w:fill="FFFFFF"/>
            <w:vAlign w:val="center"/>
          </w:tcPr>
          <w:p w14:paraId="723731A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0E8D029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FFFFF"/>
            <w:vAlign w:val="center"/>
          </w:tcPr>
          <w:p w14:paraId="2DF2094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440</w:t>
            </w:r>
          </w:p>
        </w:tc>
        <w:tc>
          <w:tcPr>
            <w:tcW w:w="1074" w:type="dxa"/>
            <w:shd w:val="clear" w:color="auto" w:fill="FFFFFF"/>
            <w:vAlign w:val="center"/>
          </w:tcPr>
          <w:p w14:paraId="3BA6AB9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0FF7C17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621E506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3EE3BAB">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46" w:hRule="atLeast"/>
        </w:trPr>
        <w:tc>
          <w:tcPr>
            <w:tcW w:w="480" w:type="dxa"/>
            <w:shd w:val="clear" w:color="auto" w:fill="FBE4E8"/>
            <w:vAlign w:val="center"/>
          </w:tcPr>
          <w:p w14:paraId="72E4F95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23</w:t>
            </w:r>
          </w:p>
        </w:tc>
        <w:tc>
          <w:tcPr>
            <w:tcW w:w="448" w:type="dxa"/>
            <w:shd w:val="clear" w:color="auto" w:fill="FBE4E8"/>
            <w:vAlign w:val="center"/>
          </w:tcPr>
          <w:p w14:paraId="236142B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56FDED7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87885</w:t>
            </w:r>
          </w:p>
        </w:tc>
        <w:tc>
          <w:tcPr>
            <w:tcW w:w="6839" w:type="dxa"/>
            <w:shd w:val="clear" w:color="auto" w:fill="FBE4E8"/>
            <w:vAlign w:val="center"/>
          </w:tcPr>
          <w:p w14:paraId="1BB39968">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Coco Ralado: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pequenas partículas finas de cor branca, com sabor e aroma característicos de coco fresco; adequado para uso em preparações culinárias, como recheios de bolos, doces, tortas, biscoitos e confeitaria em geral; validade mínima de 80% do prazo inicial ainda válido, contado a partir da data de entrega; produto deve atender às normas da ANVISA e legislações vigentes.</w:t>
            </w:r>
          </w:p>
        </w:tc>
        <w:tc>
          <w:tcPr>
            <w:tcW w:w="1254" w:type="dxa"/>
            <w:shd w:val="clear" w:color="auto" w:fill="FBE4E8"/>
            <w:vAlign w:val="center"/>
          </w:tcPr>
          <w:p w14:paraId="7A3C690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32FA551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100 g</w:t>
            </w:r>
          </w:p>
        </w:tc>
        <w:tc>
          <w:tcPr>
            <w:tcW w:w="744" w:type="dxa"/>
            <w:shd w:val="clear" w:color="auto" w:fill="FBE4E8"/>
            <w:vAlign w:val="center"/>
          </w:tcPr>
          <w:p w14:paraId="48B9558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450</w:t>
            </w:r>
          </w:p>
        </w:tc>
        <w:tc>
          <w:tcPr>
            <w:tcW w:w="1074" w:type="dxa"/>
            <w:shd w:val="clear" w:color="auto" w:fill="FBE4E8"/>
            <w:vAlign w:val="center"/>
          </w:tcPr>
          <w:p w14:paraId="06BAEC3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2281F6C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5C0E9AE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964883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565" w:hRule="atLeast"/>
        </w:trPr>
        <w:tc>
          <w:tcPr>
            <w:tcW w:w="480" w:type="dxa"/>
            <w:shd w:val="clear" w:color="auto" w:fill="FFFFFF"/>
            <w:vAlign w:val="center"/>
          </w:tcPr>
          <w:p w14:paraId="39B9F2A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24</w:t>
            </w:r>
          </w:p>
        </w:tc>
        <w:tc>
          <w:tcPr>
            <w:tcW w:w="448" w:type="dxa"/>
            <w:shd w:val="clear" w:color="auto" w:fill="FFFFFF"/>
            <w:vAlign w:val="center"/>
          </w:tcPr>
          <w:p w14:paraId="060DA99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69C7DB2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87886</w:t>
            </w:r>
          </w:p>
        </w:tc>
        <w:tc>
          <w:tcPr>
            <w:tcW w:w="6839" w:type="dxa"/>
            <w:shd w:val="clear" w:color="auto" w:fill="FFFFFF"/>
            <w:vAlign w:val="center"/>
          </w:tcPr>
          <w:p w14:paraId="2E0F8C4F">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Bebida Láctea: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w:t>
            </w:r>
            <w:r>
              <w:rPr>
                <w:rFonts w:hint="default" w:ascii="Arial Nova Cond" w:hAnsi="Arial Nova Cond" w:eastAsia="Times New Roman" w:cs="Arial Nova Cond"/>
                <w:color w:val="000000"/>
                <w:kern w:val="0"/>
                <w:sz w:val="16"/>
                <w:szCs w:val="16"/>
                <w:u w:val="none"/>
                <w:vertAlign w:val="baseline"/>
                <w:lang w:val="en-US" w:eastAsia="en-US" w:bidi="ar"/>
              </w:rPr>
              <w:pict>
                <v:shape id="_x0000_s1061" o:spid="_x0000_s1061" o:spt="172" type="#_x0000_t172" style="position:absolute;left:0pt;margin-left:92.9pt;margin-top:-72.9pt;height:129.55pt;width:394.2pt;rotation:-1376256f;z-index:251680768;mso-width-relative:page;mso-height-relative:page;" fillcolor="#000000" filled="t" stroked="t" coordsize="21600,21600" adj="12000">
                  <v:path/>
                  <v:fill on="t" color2="#FFFFFF" opacity="11141f" focussize="0,0"/>
                  <v:stroke/>
                  <v:imagedata o:title=""/>
                  <o:lock v:ext="edit" aspectratio="f"/>
                  <v:textpath on="t" fitshape="t" fitpath="t" trim="t" xscale="f" string="MODELO" style="font-family:Arial Black;font-size:36pt;v-text-align:center;"/>
                </v:shape>
              </w:pict>
            </w:r>
            <w:r>
              <w:rPr>
                <w:rFonts w:hint="default" w:ascii="Arial Nova Cond" w:hAnsi="Arial Nova Cond" w:eastAsia="Aptos Narrow" w:cs="Arial Nova Cond"/>
                <w:i w:val="0"/>
                <w:iCs w:val="0"/>
                <w:color w:val="000000"/>
                <w:kern w:val="0"/>
                <w:sz w:val="18"/>
                <w:szCs w:val="18"/>
                <w:u w:val="none"/>
                <w:lang w:val="en-US" w:eastAsia="zh-CN" w:bidi="ar"/>
              </w:rPr>
              <w:t xml:space="preserve"> com o permitido pela legislação vigente; aspecto líquido, de coloração variada conforme o sabor, com sabor e aroma característicos do leite e dos ingredientes adicionais, caso haja; adequada para consumo direto ou em preparações culinárias; validade mínima de 80% do prazo inicial ainda válido, contado a partir da data de entrega; produto deve atender às normas da ANVISA e legislações vigentes.</w:t>
            </w:r>
          </w:p>
        </w:tc>
        <w:tc>
          <w:tcPr>
            <w:tcW w:w="1254" w:type="dxa"/>
            <w:shd w:val="clear" w:color="auto" w:fill="FFFFFF"/>
            <w:vAlign w:val="center"/>
          </w:tcPr>
          <w:p w14:paraId="03E06D6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6A26A708">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mL</w:t>
            </w:r>
          </w:p>
        </w:tc>
        <w:tc>
          <w:tcPr>
            <w:tcW w:w="744" w:type="dxa"/>
            <w:shd w:val="clear" w:color="auto" w:fill="FFFFFF"/>
            <w:vAlign w:val="center"/>
          </w:tcPr>
          <w:p w14:paraId="70D9BE7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1000</w:t>
            </w:r>
          </w:p>
        </w:tc>
        <w:tc>
          <w:tcPr>
            <w:tcW w:w="1074" w:type="dxa"/>
            <w:shd w:val="clear" w:color="auto" w:fill="FFFFFF"/>
            <w:vAlign w:val="center"/>
          </w:tcPr>
          <w:p w14:paraId="0D85663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3BB945A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0496224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2EBC4607">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229" w:hRule="atLeast"/>
        </w:trPr>
        <w:tc>
          <w:tcPr>
            <w:tcW w:w="480" w:type="dxa"/>
            <w:shd w:val="clear" w:color="auto" w:fill="FBE4E8"/>
            <w:vAlign w:val="center"/>
          </w:tcPr>
          <w:p w14:paraId="11520CB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25</w:t>
            </w:r>
          </w:p>
        </w:tc>
        <w:tc>
          <w:tcPr>
            <w:tcW w:w="448" w:type="dxa"/>
            <w:shd w:val="clear" w:color="auto" w:fill="FBE4E8"/>
            <w:vAlign w:val="center"/>
          </w:tcPr>
          <w:p w14:paraId="524F6EA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693D53A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87887</w:t>
            </w:r>
          </w:p>
        </w:tc>
        <w:tc>
          <w:tcPr>
            <w:tcW w:w="6839" w:type="dxa"/>
            <w:shd w:val="clear" w:color="auto" w:fill="FBE4E8"/>
            <w:vAlign w:val="center"/>
          </w:tcPr>
          <w:p w14:paraId="67BDAB3E">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Milho de Pipoca: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grãos secos, de cor amarela, com formato e tamanho típicos do milho de pipoca; sabor e aroma característicos de milho, adequado para ser estourado em máquinas de pipoca ou em panelas; validade mínima de 80% do prazo inicial ainda válido, contado a partir da data de entrega; produto deve atender às normas da ANVISA e legislações vigentes.</w:t>
            </w:r>
          </w:p>
        </w:tc>
        <w:tc>
          <w:tcPr>
            <w:tcW w:w="1254" w:type="dxa"/>
            <w:shd w:val="clear" w:color="auto" w:fill="FBE4E8"/>
            <w:vAlign w:val="center"/>
          </w:tcPr>
          <w:p w14:paraId="2A7C3D9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D9C61B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0144F5C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900</w:t>
            </w:r>
          </w:p>
        </w:tc>
        <w:tc>
          <w:tcPr>
            <w:tcW w:w="1074" w:type="dxa"/>
            <w:shd w:val="clear" w:color="auto" w:fill="FBE4E8"/>
            <w:vAlign w:val="center"/>
          </w:tcPr>
          <w:p w14:paraId="116DAAA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63E3335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6C650CB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93CA429">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451" w:hRule="atLeast"/>
        </w:trPr>
        <w:tc>
          <w:tcPr>
            <w:tcW w:w="480" w:type="dxa"/>
            <w:vMerge w:val="restart"/>
            <w:shd w:val="clear" w:color="auto" w:fill="FFFFFF"/>
            <w:vAlign w:val="center"/>
          </w:tcPr>
          <w:p w14:paraId="6352399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26</w:t>
            </w:r>
          </w:p>
        </w:tc>
        <w:tc>
          <w:tcPr>
            <w:tcW w:w="448" w:type="dxa"/>
            <w:shd w:val="clear" w:color="auto" w:fill="FFFFFF"/>
            <w:vAlign w:val="center"/>
          </w:tcPr>
          <w:p w14:paraId="27C40D7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1D3BBF2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87888</w:t>
            </w:r>
          </w:p>
        </w:tc>
        <w:tc>
          <w:tcPr>
            <w:tcW w:w="6839" w:type="dxa"/>
            <w:shd w:val="clear" w:color="auto" w:fill="FFFFFF"/>
            <w:vAlign w:val="center"/>
          </w:tcPr>
          <w:p w14:paraId="4B149E26">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Óleo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límpido e de cor amarela, com sabor e aroma suaves, típicos do óleo de milho; adequado para uso culinário, sendo ideal para frituras, refogados, e outras preparações gastronômicas; validade mínima de 80% do prazo inicial ainda válido, contado a partir da data de entrega; produto deve atender às normas da ANVISA e legislações vigentes.</w:t>
            </w:r>
          </w:p>
        </w:tc>
        <w:tc>
          <w:tcPr>
            <w:tcW w:w="1254" w:type="dxa"/>
            <w:shd w:val="clear" w:color="auto" w:fill="FFFFFF"/>
            <w:vAlign w:val="center"/>
          </w:tcPr>
          <w:p w14:paraId="76DE702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3FE5107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900 mL</w:t>
            </w:r>
          </w:p>
        </w:tc>
        <w:tc>
          <w:tcPr>
            <w:tcW w:w="744" w:type="dxa"/>
            <w:shd w:val="clear" w:color="auto" w:fill="FFFFFF"/>
            <w:vAlign w:val="center"/>
          </w:tcPr>
          <w:p w14:paraId="0079796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50</w:t>
            </w:r>
          </w:p>
        </w:tc>
        <w:tc>
          <w:tcPr>
            <w:tcW w:w="1074" w:type="dxa"/>
            <w:shd w:val="clear" w:color="auto" w:fill="FFFFFF"/>
            <w:vAlign w:val="center"/>
          </w:tcPr>
          <w:p w14:paraId="0D08EEE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5244130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FFFFF"/>
            <w:vAlign w:val="center"/>
          </w:tcPr>
          <w:p w14:paraId="1C8FF43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45735B24">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640" w:hRule="atLeast"/>
        </w:trPr>
        <w:tc>
          <w:tcPr>
            <w:tcW w:w="480" w:type="dxa"/>
            <w:vMerge w:val="continue"/>
            <w:shd w:val="clear" w:color="auto" w:fill="FFFFFF"/>
            <w:vAlign w:val="center"/>
          </w:tcPr>
          <w:p w14:paraId="3F697C83">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1F3CCBF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FFFFF"/>
            <w:vAlign w:val="center"/>
          </w:tcPr>
          <w:p w14:paraId="79C9C96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87889</w:t>
            </w:r>
          </w:p>
        </w:tc>
        <w:tc>
          <w:tcPr>
            <w:tcW w:w="6839" w:type="dxa"/>
            <w:shd w:val="clear" w:color="auto" w:fill="FFFFFF"/>
            <w:vAlign w:val="center"/>
          </w:tcPr>
          <w:p w14:paraId="4F81191A">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Óleo de Soja: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límpido e de cor amarela pálida, com sabor e aroma suaves, típicos do óleo de soja; adequado para uso culinário, especialmente em frituras, refogados, saladas e outras preparações alimentícias; validade mínima de 80% do prazo inicial ainda válido, contado a partir da data de entrega; produto deve atender às normas da ANVISA e legislações vigentes.</w:t>
            </w:r>
          </w:p>
        </w:tc>
        <w:tc>
          <w:tcPr>
            <w:tcW w:w="1254" w:type="dxa"/>
            <w:shd w:val="clear" w:color="auto" w:fill="FFFFFF"/>
            <w:vAlign w:val="center"/>
          </w:tcPr>
          <w:p w14:paraId="6A1DBAB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25075E5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900 mL</w:t>
            </w:r>
          </w:p>
        </w:tc>
        <w:tc>
          <w:tcPr>
            <w:tcW w:w="744" w:type="dxa"/>
            <w:shd w:val="clear" w:color="auto" w:fill="FFFFFF"/>
            <w:vAlign w:val="center"/>
          </w:tcPr>
          <w:p w14:paraId="64590CD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1030</w:t>
            </w:r>
          </w:p>
        </w:tc>
        <w:tc>
          <w:tcPr>
            <w:tcW w:w="1074" w:type="dxa"/>
            <w:shd w:val="clear" w:color="auto" w:fill="FFFFFF"/>
            <w:vAlign w:val="center"/>
          </w:tcPr>
          <w:p w14:paraId="7C34BD4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612E42D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FFFFF"/>
            <w:vAlign w:val="center"/>
          </w:tcPr>
          <w:p w14:paraId="7CBBAD3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86E9B70">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1560" w:hRule="atLeast"/>
        </w:trPr>
        <w:tc>
          <w:tcPr>
            <w:tcW w:w="480" w:type="dxa"/>
            <w:shd w:val="clear" w:color="auto" w:fill="FBE4E8"/>
            <w:vAlign w:val="center"/>
          </w:tcPr>
          <w:p w14:paraId="3D83D72C">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27</w:t>
            </w:r>
          </w:p>
        </w:tc>
        <w:tc>
          <w:tcPr>
            <w:tcW w:w="448" w:type="dxa"/>
            <w:shd w:val="clear" w:color="auto" w:fill="FBE4E8"/>
            <w:vAlign w:val="center"/>
          </w:tcPr>
          <w:p w14:paraId="7D76D41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69295D6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87890</w:t>
            </w:r>
          </w:p>
        </w:tc>
        <w:tc>
          <w:tcPr>
            <w:tcW w:w="6839" w:type="dxa"/>
            <w:shd w:val="clear" w:color="auto" w:fill="FBE4E8"/>
            <w:vAlign w:val="center"/>
          </w:tcPr>
          <w:p w14:paraId="24CB82A6">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Palito de Fósforo: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pequenos palitos cilíndricos, geralmente de madeira, com cabeça contendo fósforo para ignição, de cor variada conforme a marca e tipo de palito; utilizado para acender fogo, em atividades domésticas ou outras necessidades específicas; validade mínima de 80% do prazo inicial ainda válido, contado a partir da data de entrega; produto deve atender às normas de segurança e legislações vigentes.</w:t>
            </w:r>
          </w:p>
        </w:tc>
        <w:tc>
          <w:tcPr>
            <w:tcW w:w="1254" w:type="dxa"/>
            <w:shd w:val="clear" w:color="auto" w:fill="FBE4E8"/>
            <w:vAlign w:val="center"/>
          </w:tcPr>
          <w:p w14:paraId="1077FC92">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00DF63E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Pacote primário com 10 caixas, cada caixa contendo 40 palitos</w:t>
            </w:r>
          </w:p>
        </w:tc>
        <w:tc>
          <w:tcPr>
            <w:tcW w:w="744" w:type="dxa"/>
            <w:shd w:val="clear" w:color="auto" w:fill="FBE4E8"/>
            <w:vAlign w:val="center"/>
          </w:tcPr>
          <w:p w14:paraId="7587AD4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260</w:t>
            </w:r>
          </w:p>
        </w:tc>
        <w:tc>
          <w:tcPr>
            <w:tcW w:w="1074" w:type="dxa"/>
            <w:shd w:val="clear" w:color="auto" w:fill="FBE4E8"/>
            <w:vAlign w:val="center"/>
          </w:tcPr>
          <w:p w14:paraId="72388A5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51056C7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40C8D25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5397F3B0">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10" w:hRule="atLeast"/>
        </w:trPr>
        <w:tc>
          <w:tcPr>
            <w:tcW w:w="480" w:type="dxa"/>
            <w:shd w:val="clear" w:color="auto" w:fill="FFFFFF"/>
            <w:vAlign w:val="center"/>
          </w:tcPr>
          <w:p w14:paraId="04B4AAD4">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28</w:t>
            </w:r>
          </w:p>
        </w:tc>
        <w:tc>
          <w:tcPr>
            <w:tcW w:w="448" w:type="dxa"/>
            <w:shd w:val="clear" w:color="auto" w:fill="FFFFFF"/>
            <w:vAlign w:val="center"/>
          </w:tcPr>
          <w:p w14:paraId="5B2DB25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0524834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87891</w:t>
            </w:r>
          </w:p>
        </w:tc>
        <w:tc>
          <w:tcPr>
            <w:tcW w:w="6839" w:type="dxa"/>
            <w:shd w:val="clear" w:color="auto" w:fill="FFFFFF"/>
            <w:vAlign w:val="center"/>
          </w:tcPr>
          <w:p w14:paraId="1BD361F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Sal:</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cristalino ou granulado, de cor branca ou levemente opaca, com sabor característico salgado; adequado para uso culinário em preparações alimentícias, como tempero, conservação de alimentos ou em processos industriais; validade mínima de 80% do prazo inicial ainda válido, contado a partir da data de entrega; produto deve atender às normas da ANVISA e legislações vigentes.</w:t>
            </w:r>
          </w:p>
        </w:tc>
        <w:tc>
          <w:tcPr>
            <w:tcW w:w="1254" w:type="dxa"/>
            <w:shd w:val="clear" w:color="auto" w:fill="FFFFFF"/>
            <w:vAlign w:val="center"/>
          </w:tcPr>
          <w:p w14:paraId="0C9A6B7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2E154EF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kg</w:t>
            </w:r>
          </w:p>
        </w:tc>
        <w:tc>
          <w:tcPr>
            <w:tcW w:w="744" w:type="dxa"/>
            <w:shd w:val="clear" w:color="auto" w:fill="FFFFFF"/>
            <w:vAlign w:val="center"/>
          </w:tcPr>
          <w:p w14:paraId="6BD9938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510</w:t>
            </w:r>
          </w:p>
        </w:tc>
        <w:tc>
          <w:tcPr>
            <w:tcW w:w="1074" w:type="dxa"/>
            <w:shd w:val="clear" w:color="auto" w:fill="FFFFFF"/>
            <w:vAlign w:val="center"/>
          </w:tcPr>
          <w:p w14:paraId="1A419B8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4CB7664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2D913C4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9108B5C">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17" w:hRule="atLeast"/>
        </w:trPr>
        <w:tc>
          <w:tcPr>
            <w:tcW w:w="480" w:type="dxa"/>
            <w:shd w:val="clear" w:color="auto" w:fill="FBE4E8"/>
            <w:vAlign w:val="center"/>
          </w:tcPr>
          <w:p w14:paraId="131912B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29</w:t>
            </w:r>
          </w:p>
        </w:tc>
        <w:tc>
          <w:tcPr>
            <w:tcW w:w="448" w:type="dxa"/>
            <w:shd w:val="clear" w:color="auto" w:fill="FBE4E8"/>
            <w:vAlign w:val="center"/>
          </w:tcPr>
          <w:p w14:paraId="11500E7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0069B6B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87892</w:t>
            </w:r>
          </w:p>
        </w:tc>
        <w:tc>
          <w:tcPr>
            <w:tcW w:w="6839" w:type="dxa"/>
            <w:shd w:val="clear" w:color="auto" w:fill="FBE4E8"/>
            <w:vAlign w:val="center"/>
          </w:tcPr>
          <w:p w14:paraId="50D2AE3F">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Vinagre: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líquido, de coloração variada (geralmente transparente, branca, ou ambar), com sabor ácido e aroma característico do tipo de vinagre; adequado p</w:t>
            </w:r>
            <w:r>
              <w:rPr>
                <w:rFonts w:hint="default" w:ascii="Arial Nova Cond" w:hAnsi="Arial Nova Cond" w:eastAsia="Times New Roman" w:cs="Arial Nova Cond"/>
                <w:color w:val="000000"/>
                <w:kern w:val="0"/>
                <w:sz w:val="16"/>
                <w:szCs w:val="16"/>
                <w:u w:val="none"/>
                <w:vertAlign w:val="baseline"/>
                <w:lang w:val="en-US" w:eastAsia="en-US" w:bidi="ar"/>
              </w:rPr>
              <w:pict>
                <v:shape id="_x0000_s1062" o:spid="_x0000_s1062" o:spt="172" type="#_x0000_t172" style="position:absolute;left:0pt;margin-left:92.9pt;margin-top:-63.85pt;height:129.55pt;width:394.2pt;rotation:-1376256f;z-index:251681792;mso-width-relative:page;mso-height-relative:page;" fillcolor="#000000" filled="t" stroked="t" coordsize="21600,21600" adj="12000">
                  <v:path/>
                  <v:fill on="t" color2="#FFFFFF" opacity="11141f" focussize="0,0"/>
                  <v:stroke/>
                  <v:imagedata o:title=""/>
                  <o:lock v:ext="edit" aspectratio="f"/>
                  <v:textpath on="t" fitshape="t" fitpath="t" trim="t" xscale="f" string="MODELO" style="font-family:Arial Black;font-size:36pt;v-text-align:center;"/>
                </v:shape>
              </w:pict>
            </w:r>
            <w:r>
              <w:rPr>
                <w:rFonts w:hint="default" w:ascii="Arial Nova Cond" w:hAnsi="Arial Nova Cond" w:eastAsia="Aptos Narrow" w:cs="Arial Nova Cond"/>
                <w:i w:val="0"/>
                <w:iCs w:val="0"/>
                <w:color w:val="000000"/>
                <w:kern w:val="0"/>
                <w:sz w:val="18"/>
                <w:szCs w:val="18"/>
                <w:u w:val="none"/>
                <w:lang w:val="en-US" w:eastAsia="zh-CN" w:bidi="ar"/>
              </w:rPr>
              <w:t>ara uso culinário em temperos, conservas, marinadas, molhos e outras preparações alimentícias; validade mínima de 80% do prazo inicial ainda válido, contado a partir da data de entrega; produto deve atender às normas da ANVISA e legislações vigentes.</w:t>
            </w:r>
          </w:p>
        </w:tc>
        <w:tc>
          <w:tcPr>
            <w:tcW w:w="1254" w:type="dxa"/>
            <w:shd w:val="clear" w:color="auto" w:fill="FBE4E8"/>
            <w:vAlign w:val="center"/>
          </w:tcPr>
          <w:p w14:paraId="3282BE0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489F5E4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750 mL</w:t>
            </w:r>
          </w:p>
        </w:tc>
        <w:tc>
          <w:tcPr>
            <w:tcW w:w="744" w:type="dxa"/>
            <w:shd w:val="clear" w:color="auto" w:fill="FBE4E8"/>
            <w:vAlign w:val="center"/>
          </w:tcPr>
          <w:p w14:paraId="3691833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3F5F781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5B9E092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649D1B19">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6C2223AB">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99" w:hRule="atLeast"/>
        </w:trPr>
        <w:tc>
          <w:tcPr>
            <w:tcW w:w="480" w:type="dxa"/>
            <w:shd w:val="clear" w:color="auto" w:fill="FFFFFF"/>
            <w:vAlign w:val="center"/>
          </w:tcPr>
          <w:p w14:paraId="1950CF9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30</w:t>
            </w:r>
          </w:p>
        </w:tc>
        <w:tc>
          <w:tcPr>
            <w:tcW w:w="448" w:type="dxa"/>
            <w:shd w:val="clear" w:color="auto" w:fill="FFFFFF"/>
            <w:vAlign w:val="center"/>
          </w:tcPr>
          <w:p w14:paraId="4E5E02C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09BA01D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87893</w:t>
            </w:r>
          </w:p>
        </w:tc>
        <w:tc>
          <w:tcPr>
            <w:tcW w:w="6839" w:type="dxa"/>
            <w:shd w:val="clear" w:color="auto" w:fill="FFFFFF"/>
            <w:vAlign w:val="center"/>
          </w:tcPr>
          <w:p w14:paraId="41F08D33">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Caldo de Carne: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em cubos, com cor e sabor intensos e característicos de carne ou galinha, podendo conter temperos e especiarias adicionais; utilizado para dar sabor a sopas, molhos, risotos, ensopados e outras preparações culinárias; validade mínima de 80% do prazo inicial ainda válido, contado a partir da data de entrega; produto deve atender às normas da ANVISA e legislações vigentes.</w:t>
            </w:r>
          </w:p>
        </w:tc>
        <w:tc>
          <w:tcPr>
            <w:tcW w:w="1254" w:type="dxa"/>
            <w:shd w:val="clear" w:color="auto" w:fill="FFFFFF"/>
            <w:vAlign w:val="center"/>
          </w:tcPr>
          <w:p w14:paraId="6DBDF8D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76CF5B8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Caixa com 57 g, contendo no mínimo 6 tabletes</w:t>
            </w:r>
          </w:p>
        </w:tc>
        <w:tc>
          <w:tcPr>
            <w:tcW w:w="744" w:type="dxa"/>
            <w:shd w:val="clear" w:color="auto" w:fill="FFFFFF"/>
            <w:vAlign w:val="center"/>
          </w:tcPr>
          <w:p w14:paraId="48E6666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1000</w:t>
            </w:r>
          </w:p>
        </w:tc>
        <w:tc>
          <w:tcPr>
            <w:tcW w:w="1074" w:type="dxa"/>
            <w:shd w:val="clear" w:color="auto" w:fill="FFFFFF"/>
            <w:vAlign w:val="center"/>
          </w:tcPr>
          <w:p w14:paraId="7971CD5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69FDC01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5E5D9C3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D09B11B">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46" w:hRule="atLeast"/>
        </w:trPr>
        <w:tc>
          <w:tcPr>
            <w:tcW w:w="480" w:type="dxa"/>
            <w:vMerge w:val="restart"/>
            <w:shd w:val="clear" w:color="auto" w:fill="FBE4E8"/>
            <w:vAlign w:val="center"/>
          </w:tcPr>
          <w:p w14:paraId="22132E7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31</w:t>
            </w:r>
          </w:p>
        </w:tc>
        <w:tc>
          <w:tcPr>
            <w:tcW w:w="448" w:type="dxa"/>
            <w:shd w:val="clear" w:color="auto" w:fill="FBE4E8"/>
            <w:vAlign w:val="center"/>
          </w:tcPr>
          <w:p w14:paraId="3C1263F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111F6D5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87894</w:t>
            </w:r>
          </w:p>
        </w:tc>
        <w:tc>
          <w:tcPr>
            <w:tcW w:w="6839" w:type="dxa"/>
            <w:shd w:val="clear" w:color="auto" w:fill="FBE4E8"/>
            <w:vAlign w:val="center"/>
          </w:tcPr>
          <w:p w14:paraId="78CE2672">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Canela em Pó:</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pó fino, de cor marrom-clara a marrom-escuro, com sabor e aroma característicos de canela, levemente doce e picante; utilizada como tempero em preparações culinárias, como bolos, doces, bebidas, sobremesas, entre outros; validade mínima de 80% do prazo inicial ainda válido, contado a partir da data de entrega; produto deve atender às normas da ANVISA e legislações vigentes.</w:t>
            </w:r>
          </w:p>
        </w:tc>
        <w:tc>
          <w:tcPr>
            <w:tcW w:w="1254" w:type="dxa"/>
            <w:shd w:val="clear" w:color="auto" w:fill="FBE4E8"/>
            <w:vAlign w:val="center"/>
          </w:tcPr>
          <w:p w14:paraId="1460D09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0EEE443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30 g</w:t>
            </w:r>
          </w:p>
        </w:tc>
        <w:tc>
          <w:tcPr>
            <w:tcW w:w="744" w:type="dxa"/>
            <w:shd w:val="clear" w:color="auto" w:fill="FBE4E8"/>
            <w:vAlign w:val="center"/>
          </w:tcPr>
          <w:p w14:paraId="1DF06FE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260</w:t>
            </w:r>
          </w:p>
        </w:tc>
        <w:tc>
          <w:tcPr>
            <w:tcW w:w="1074" w:type="dxa"/>
            <w:shd w:val="clear" w:color="auto" w:fill="FBE4E8"/>
            <w:vAlign w:val="center"/>
          </w:tcPr>
          <w:p w14:paraId="33F1EBC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0E02DF3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BE4E8"/>
            <w:vAlign w:val="center"/>
          </w:tcPr>
          <w:p w14:paraId="10B9E45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5DC3BB3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552" w:hRule="atLeast"/>
        </w:trPr>
        <w:tc>
          <w:tcPr>
            <w:tcW w:w="480" w:type="dxa"/>
            <w:vMerge w:val="continue"/>
            <w:shd w:val="clear" w:color="auto" w:fill="E1E9FE"/>
            <w:vAlign w:val="center"/>
          </w:tcPr>
          <w:p w14:paraId="37DB820C">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0E885EA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595F2FF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87895</w:t>
            </w:r>
          </w:p>
        </w:tc>
        <w:tc>
          <w:tcPr>
            <w:tcW w:w="6839" w:type="dxa"/>
            <w:shd w:val="clear" w:color="auto" w:fill="FBE4E8"/>
            <w:vAlign w:val="center"/>
          </w:tcPr>
          <w:p w14:paraId="0F6AD33A">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Colorífico (Colorau):</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em pó, de cor vermelha a laranja intensa, com sabor suave e aroma típico de especiarias; utilizado como corante natural em preparações culinárias; validade mínima de 80% do prazo inicial ainda válido, contado a partir da data de entrega; produto deve atender às normas da ANVISA e legislações vigentes.</w:t>
            </w:r>
          </w:p>
        </w:tc>
        <w:tc>
          <w:tcPr>
            <w:tcW w:w="1254" w:type="dxa"/>
            <w:shd w:val="clear" w:color="auto" w:fill="FBE4E8"/>
            <w:vAlign w:val="center"/>
          </w:tcPr>
          <w:p w14:paraId="2CDC470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8CBF6F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kg</w:t>
            </w:r>
          </w:p>
        </w:tc>
        <w:tc>
          <w:tcPr>
            <w:tcW w:w="744" w:type="dxa"/>
            <w:shd w:val="clear" w:color="auto" w:fill="FBE4E8"/>
            <w:vAlign w:val="center"/>
          </w:tcPr>
          <w:p w14:paraId="767F03F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100</w:t>
            </w:r>
          </w:p>
        </w:tc>
        <w:tc>
          <w:tcPr>
            <w:tcW w:w="1074" w:type="dxa"/>
            <w:shd w:val="clear" w:color="auto" w:fill="FBE4E8"/>
            <w:vAlign w:val="center"/>
          </w:tcPr>
          <w:p w14:paraId="745E900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11D507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E1E9FE"/>
            <w:vAlign w:val="center"/>
          </w:tcPr>
          <w:p w14:paraId="3A42817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5B77C37">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10" w:hRule="atLeast"/>
        </w:trPr>
        <w:tc>
          <w:tcPr>
            <w:tcW w:w="480" w:type="dxa"/>
            <w:vMerge w:val="continue"/>
            <w:shd w:val="clear" w:color="auto" w:fill="FFFFFF"/>
            <w:vAlign w:val="center"/>
          </w:tcPr>
          <w:p w14:paraId="6CD724DA">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6134884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BE4E8"/>
            <w:vAlign w:val="center"/>
          </w:tcPr>
          <w:p w14:paraId="35FF8A5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87896</w:t>
            </w:r>
          </w:p>
        </w:tc>
        <w:tc>
          <w:tcPr>
            <w:tcW w:w="6839" w:type="dxa"/>
            <w:shd w:val="clear" w:color="auto" w:fill="FBE4E8"/>
            <w:vAlign w:val="center"/>
          </w:tcPr>
          <w:p w14:paraId="0E17B9C4">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Açafrão: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em pó, de cor amarela intensa, com sabor levemente amargo e aroma característico e pungente; utilizado como tempero em preparações culinárias, como risotos, sopas, molhos e pratos tradicionais; validade mínima de 80% do prazo inicial ainda válido, contado a partir da data de entrega; produto deve atender às normas da ANVISA e legislações vigentes.</w:t>
            </w:r>
          </w:p>
        </w:tc>
        <w:tc>
          <w:tcPr>
            <w:tcW w:w="1254" w:type="dxa"/>
            <w:shd w:val="clear" w:color="auto" w:fill="FBE4E8"/>
            <w:vAlign w:val="center"/>
          </w:tcPr>
          <w:p w14:paraId="3853830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4F9663F">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500 g</w:t>
            </w:r>
          </w:p>
        </w:tc>
        <w:tc>
          <w:tcPr>
            <w:tcW w:w="744" w:type="dxa"/>
            <w:shd w:val="clear" w:color="auto" w:fill="FBE4E8"/>
            <w:vAlign w:val="center"/>
          </w:tcPr>
          <w:p w14:paraId="7A198AD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46BBBE8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3B5565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E1E9FE"/>
            <w:vAlign w:val="center"/>
          </w:tcPr>
          <w:p w14:paraId="6286362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42154150">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48" w:hRule="atLeast"/>
        </w:trPr>
        <w:tc>
          <w:tcPr>
            <w:tcW w:w="480" w:type="dxa"/>
            <w:vMerge w:val="continue"/>
            <w:shd w:val="clear" w:color="auto" w:fill="FFFFFF"/>
            <w:vAlign w:val="center"/>
          </w:tcPr>
          <w:p w14:paraId="0DA2CBCF">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6DF748B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4</w:t>
            </w:r>
          </w:p>
        </w:tc>
        <w:tc>
          <w:tcPr>
            <w:tcW w:w="792" w:type="dxa"/>
            <w:shd w:val="clear" w:color="auto" w:fill="FBE4E8"/>
            <w:vAlign w:val="center"/>
          </w:tcPr>
          <w:p w14:paraId="18B3447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87897</w:t>
            </w:r>
          </w:p>
        </w:tc>
        <w:tc>
          <w:tcPr>
            <w:tcW w:w="6839" w:type="dxa"/>
            <w:shd w:val="clear" w:color="auto" w:fill="FBE4E8"/>
            <w:vAlign w:val="center"/>
          </w:tcPr>
          <w:p w14:paraId="1409B61F">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Pimenta do Reino: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em pó, com sabor picante e aroma característico de especiaria; utilizada como tempero em diversas preparações culinárias; validade mínima de 80% do prazo inicial ainda válido, contado a partir da data de entrega; produto deve atender às normas da ANVISA e legislações vigentes.</w:t>
            </w:r>
          </w:p>
        </w:tc>
        <w:tc>
          <w:tcPr>
            <w:tcW w:w="1254" w:type="dxa"/>
            <w:shd w:val="clear" w:color="auto" w:fill="FBE4E8"/>
            <w:vAlign w:val="center"/>
          </w:tcPr>
          <w:p w14:paraId="052218E6">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01571A7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 g</w:t>
            </w:r>
          </w:p>
        </w:tc>
        <w:tc>
          <w:tcPr>
            <w:tcW w:w="744" w:type="dxa"/>
            <w:shd w:val="clear" w:color="auto" w:fill="FBE4E8"/>
            <w:vAlign w:val="center"/>
          </w:tcPr>
          <w:p w14:paraId="4FCA6A1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0961EEA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42297F2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E1E9FE"/>
            <w:vAlign w:val="center"/>
          </w:tcPr>
          <w:p w14:paraId="130AE17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4647AC6">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51" w:hRule="atLeast"/>
        </w:trPr>
        <w:tc>
          <w:tcPr>
            <w:tcW w:w="480" w:type="dxa"/>
            <w:vMerge w:val="continue"/>
            <w:shd w:val="clear" w:color="auto" w:fill="FFFFFF"/>
            <w:vAlign w:val="center"/>
          </w:tcPr>
          <w:p w14:paraId="389CBE66">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2E0C638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5</w:t>
            </w:r>
          </w:p>
        </w:tc>
        <w:tc>
          <w:tcPr>
            <w:tcW w:w="792" w:type="dxa"/>
            <w:shd w:val="clear" w:color="auto" w:fill="FBE4E8"/>
            <w:vAlign w:val="center"/>
          </w:tcPr>
          <w:p w14:paraId="21FED2C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87898</w:t>
            </w:r>
          </w:p>
        </w:tc>
        <w:tc>
          <w:tcPr>
            <w:tcW w:w="6839" w:type="dxa"/>
            <w:shd w:val="clear" w:color="auto" w:fill="FBE4E8"/>
            <w:vAlign w:val="center"/>
          </w:tcPr>
          <w:p w14:paraId="228B824A">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Páprica: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em pó, de cor vermelha a laranja, com sabor suave a picante e aroma característico, levemente adocicado e defumado; utilizada como tempero em preparações culinárias, como carnes, molhos, sopas, vegetais, entre outros; validade mínima de 80% do prazo inicial ainda válido, contado a partir da data de entrega; produto deve atender às normas da ANVISA e legislações vigentes.</w:t>
            </w:r>
          </w:p>
        </w:tc>
        <w:tc>
          <w:tcPr>
            <w:tcW w:w="1254" w:type="dxa"/>
            <w:shd w:val="clear" w:color="auto" w:fill="FBE4E8"/>
            <w:vAlign w:val="center"/>
          </w:tcPr>
          <w:p w14:paraId="56129C4D">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1EC487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 g</w:t>
            </w:r>
          </w:p>
        </w:tc>
        <w:tc>
          <w:tcPr>
            <w:tcW w:w="744" w:type="dxa"/>
            <w:shd w:val="clear" w:color="auto" w:fill="FBE4E8"/>
            <w:vAlign w:val="center"/>
          </w:tcPr>
          <w:p w14:paraId="341548A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BE4E8"/>
            <w:vAlign w:val="center"/>
          </w:tcPr>
          <w:p w14:paraId="2968BCB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04A33D0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E1E9FE"/>
            <w:vAlign w:val="center"/>
          </w:tcPr>
          <w:p w14:paraId="7D8D907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19AF4088">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23" w:hRule="atLeast"/>
        </w:trPr>
        <w:tc>
          <w:tcPr>
            <w:tcW w:w="480" w:type="dxa"/>
            <w:shd w:val="clear" w:color="auto" w:fill="FFFFFF"/>
            <w:vAlign w:val="center"/>
          </w:tcPr>
          <w:p w14:paraId="4C56A602">
            <w:pPr>
              <w:keepNext w:val="0"/>
              <w:keepLines w:val="0"/>
              <w:widowControl/>
              <w:suppressLineNumbers w:val="0"/>
              <w:jc w:val="right"/>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32</w:t>
            </w:r>
          </w:p>
        </w:tc>
        <w:tc>
          <w:tcPr>
            <w:tcW w:w="448" w:type="dxa"/>
            <w:shd w:val="clear" w:color="auto" w:fill="FFFFFF"/>
            <w:vAlign w:val="center"/>
          </w:tcPr>
          <w:p w14:paraId="7FE55E1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2BF3C40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87899</w:t>
            </w:r>
          </w:p>
        </w:tc>
        <w:tc>
          <w:tcPr>
            <w:tcW w:w="6839" w:type="dxa"/>
            <w:shd w:val="clear" w:color="auto" w:fill="FFFFFF"/>
            <w:vAlign w:val="center"/>
          </w:tcPr>
          <w:p w14:paraId="48EB9619">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Batata Palha: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tiras finas e crocantes, de cor dourada a leveme</w:t>
            </w:r>
            <w:r>
              <w:rPr>
                <w:rFonts w:hint="default" w:ascii="Arial Nova Cond" w:hAnsi="Arial Nova Cond" w:eastAsia="Times New Roman" w:cs="Arial Nova Cond"/>
                <w:color w:val="000000"/>
                <w:kern w:val="0"/>
                <w:sz w:val="16"/>
                <w:szCs w:val="16"/>
                <w:u w:val="none"/>
                <w:vertAlign w:val="baseline"/>
                <w:lang w:val="en-US" w:eastAsia="en-US" w:bidi="ar"/>
              </w:rPr>
              <w:pict>
                <v:shape id="_x0000_s1063" o:spid="_x0000_s1063" o:spt="172" type="#_x0000_t172" style="position:absolute;left:0pt;margin-left:92.9pt;margin-top:-89.45pt;height:129.55pt;width:394.2pt;rotation:-1376256f;z-index:251682816;mso-width-relative:page;mso-height-relative:page;" fillcolor="#000000" filled="t" stroked="t" coordsize="21600,21600" adj="12000">
                  <v:path/>
                  <v:fill on="t" color2="#FFFFFF" opacity="11141f" focussize="0,0"/>
                  <v:stroke/>
                  <v:imagedata o:title=""/>
                  <o:lock v:ext="edit" aspectratio="f"/>
                  <v:textpath on="t" fitshape="t" fitpath="t" trim="t" xscale="f" string="MODELO" style="font-family:Arial Black;font-size:36pt;v-text-align:center;"/>
                </v:shape>
              </w:pict>
            </w:r>
            <w:r>
              <w:rPr>
                <w:rFonts w:hint="default" w:ascii="Arial Nova Cond" w:hAnsi="Arial Nova Cond" w:eastAsia="Aptos Narrow" w:cs="Arial Nova Cond"/>
                <w:i w:val="0"/>
                <w:iCs w:val="0"/>
                <w:color w:val="000000"/>
                <w:kern w:val="0"/>
                <w:sz w:val="18"/>
                <w:szCs w:val="18"/>
                <w:u w:val="none"/>
                <w:lang w:val="en-US" w:eastAsia="zh-CN" w:bidi="ar"/>
              </w:rPr>
              <w:t>nte amarelada, com sabor e aroma característicos de batata frita; utilizada como acompanhamento, decoração ou ingrediente em pratos como saladas, sanduíches, tortas, e outros preparos culinários; validade mínima de 80% do prazo inicial ainda válido, contado a partir da data de entrega; produto deve atender às normas da ANVISA e legislações vigentes.</w:t>
            </w:r>
          </w:p>
        </w:tc>
        <w:tc>
          <w:tcPr>
            <w:tcW w:w="1254" w:type="dxa"/>
            <w:shd w:val="clear" w:color="auto" w:fill="FFFFFF"/>
            <w:vAlign w:val="center"/>
          </w:tcPr>
          <w:p w14:paraId="4D87D5A5">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1C9FB650">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400 g</w:t>
            </w:r>
          </w:p>
        </w:tc>
        <w:tc>
          <w:tcPr>
            <w:tcW w:w="744" w:type="dxa"/>
            <w:shd w:val="clear" w:color="auto" w:fill="FFFFFF"/>
            <w:vAlign w:val="center"/>
          </w:tcPr>
          <w:p w14:paraId="56828A3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875</w:t>
            </w:r>
          </w:p>
        </w:tc>
        <w:tc>
          <w:tcPr>
            <w:tcW w:w="1074" w:type="dxa"/>
            <w:shd w:val="clear" w:color="auto" w:fill="FFFFFF"/>
            <w:vAlign w:val="center"/>
          </w:tcPr>
          <w:p w14:paraId="5140FBA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5910C81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7EAF2C7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913F6AE">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54" w:hRule="atLeast"/>
        </w:trPr>
        <w:tc>
          <w:tcPr>
            <w:tcW w:w="480" w:type="dxa"/>
            <w:shd w:val="clear" w:color="auto" w:fill="FBE4E8"/>
            <w:vAlign w:val="center"/>
          </w:tcPr>
          <w:p w14:paraId="1F040D89">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33</w:t>
            </w:r>
          </w:p>
        </w:tc>
        <w:tc>
          <w:tcPr>
            <w:tcW w:w="448" w:type="dxa"/>
            <w:shd w:val="clear" w:color="auto" w:fill="FBE4E8"/>
            <w:vAlign w:val="center"/>
          </w:tcPr>
          <w:p w14:paraId="3866077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35B7F91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87900</w:t>
            </w:r>
          </w:p>
        </w:tc>
        <w:tc>
          <w:tcPr>
            <w:tcW w:w="6839" w:type="dxa"/>
            <w:shd w:val="clear" w:color="auto" w:fill="FBE4E8"/>
            <w:vAlign w:val="center"/>
          </w:tcPr>
          <w:p w14:paraId="3A3B3FD1">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Corante Alimentício: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líquido; cores diversas; utilizado para dar cor a alimentos e bebidas, como bolos, doces, sorvetes, sobremesas, e preparações em geral; validade mínima de 80% do prazo inicial ainda válido, contado a partir da data de entrega; produto deve atender às normas da ANVISA e legislações vigentes.</w:t>
            </w:r>
          </w:p>
        </w:tc>
        <w:tc>
          <w:tcPr>
            <w:tcW w:w="1254" w:type="dxa"/>
            <w:shd w:val="clear" w:color="auto" w:fill="FBE4E8"/>
            <w:vAlign w:val="center"/>
          </w:tcPr>
          <w:p w14:paraId="7B39304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E43116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10 mL</w:t>
            </w:r>
          </w:p>
        </w:tc>
        <w:tc>
          <w:tcPr>
            <w:tcW w:w="744" w:type="dxa"/>
            <w:shd w:val="clear" w:color="auto" w:fill="FBE4E8"/>
            <w:vAlign w:val="center"/>
          </w:tcPr>
          <w:p w14:paraId="7F160D6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210</w:t>
            </w:r>
          </w:p>
        </w:tc>
        <w:tc>
          <w:tcPr>
            <w:tcW w:w="1074" w:type="dxa"/>
            <w:shd w:val="clear" w:color="auto" w:fill="FBE4E8"/>
            <w:vAlign w:val="center"/>
          </w:tcPr>
          <w:p w14:paraId="7C15D56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DB78A9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185E18C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55CE9ED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46" w:hRule="atLeast"/>
        </w:trPr>
        <w:tc>
          <w:tcPr>
            <w:tcW w:w="480" w:type="dxa"/>
            <w:shd w:val="clear" w:color="auto" w:fill="FFFFFF"/>
            <w:vAlign w:val="center"/>
          </w:tcPr>
          <w:p w14:paraId="0781E41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34</w:t>
            </w:r>
          </w:p>
        </w:tc>
        <w:tc>
          <w:tcPr>
            <w:tcW w:w="448" w:type="dxa"/>
            <w:shd w:val="clear" w:color="auto" w:fill="FFFFFF"/>
            <w:vAlign w:val="center"/>
          </w:tcPr>
          <w:p w14:paraId="35779AC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6A7707C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87901</w:t>
            </w:r>
          </w:p>
        </w:tc>
        <w:tc>
          <w:tcPr>
            <w:tcW w:w="6839" w:type="dxa"/>
            <w:shd w:val="clear" w:color="auto" w:fill="FFFFFF"/>
            <w:vAlign w:val="center"/>
          </w:tcPr>
          <w:p w14:paraId="04B4C75C">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Chantilly:</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cremoso, de cor branca, com sabor suave e levemente doce, obtido a partir de creme de leite batido, podendo conter estabilizantes e adoçantes; utilizado como cobertura ou recheio para bolos, tortas, sobremesas, e outras preparações culinárias; validade mínima de 80% do prazo inicial ainda válido, contado a partir da data de entrega; produto deve atender às normas da ANVISA e legislações vigentes.</w:t>
            </w:r>
          </w:p>
        </w:tc>
        <w:tc>
          <w:tcPr>
            <w:tcW w:w="1254" w:type="dxa"/>
            <w:shd w:val="clear" w:color="auto" w:fill="FFFFFF"/>
            <w:vAlign w:val="center"/>
          </w:tcPr>
          <w:p w14:paraId="6CA5A05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60885A2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mL</w:t>
            </w:r>
          </w:p>
        </w:tc>
        <w:tc>
          <w:tcPr>
            <w:tcW w:w="744" w:type="dxa"/>
            <w:shd w:val="clear" w:color="auto" w:fill="FFFFFF"/>
            <w:vAlign w:val="center"/>
          </w:tcPr>
          <w:p w14:paraId="484E452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275</w:t>
            </w:r>
          </w:p>
        </w:tc>
        <w:tc>
          <w:tcPr>
            <w:tcW w:w="1074" w:type="dxa"/>
            <w:shd w:val="clear" w:color="auto" w:fill="FFFFFF"/>
            <w:vAlign w:val="center"/>
          </w:tcPr>
          <w:p w14:paraId="0785276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5A3F9536">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2767DE4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0D761E1B">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734" w:hRule="atLeast"/>
        </w:trPr>
        <w:tc>
          <w:tcPr>
            <w:tcW w:w="480" w:type="dxa"/>
            <w:shd w:val="clear" w:color="auto" w:fill="FBE4E8"/>
            <w:vAlign w:val="center"/>
          </w:tcPr>
          <w:p w14:paraId="3D71493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35</w:t>
            </w:r>
          </w:p>
        </w:tc>
        <w:tc>
          <w:tcPr>
            <w:tcW w:w="448" w:type="dxa"/>
            <w:shd w:val="clear" w:color="auto" w:fill="FBE4E8"/>
            <w:vAlign w:val="center"/>
          </w:tcPr>
          <w:p w14:paraId="410999C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25E5C32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87902</w:t>
            </w:r>
          </w:p>
        </w:tc>
        <w:tc>
          <w:tcPr>
            <w:tcW w:w="6839" w:type="dxa"/>
            <w:shd w:val="clear" w:color="auto" w:fill="FBE4E8"/>
            <w:vAlign w:val="center"/>
          </w:tcPr>
          <w:p w14:paraId="64A88EF9">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Requeijão: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cremoso, de cor branca a levemente amarelada, com sabor suave e aroma característico; utilizado como ingrediente ou cobertura e</w:t>
            </w:r>
            <w:r>
              <w:rPr>
                <w:rFonts w:hint="default" w:ascii="Arial Nova Cond" w:hAnsi="Arial Nova Cond" w:eastAsia="Times New Roman" w:cs="Arial Nova Cond"/>
                <w:color w:val="000000"/>
                <w:kern w:val="0"/>
                <w:sz w:val="16"/>
                <w:szCs w:val="16"/>
                <w:u w:val="none"/>
                <w:vertAlign w:val="baseline"/>
                <w:lang w:val="en-US" w:eastAsia="en-US" w:bidi="ar"/>
              </w:rPr>
              <w:pict>
                <v:shape id="_x0000_s1064" o:spid="_x0000_s1064" o:spt="172" type="#_x0000_t172" style="position:absolute;left:0pt;margin-left:92.9pt;margin-top:126pt;height:129.55pt;width:394.2pt;rotation:-1376256f;z-index:251683840;mso-width-relative:page;mso-height-relative:page;" fillcolor="#000000" filled="t" stroked="t" coordsize="21600,21600" adj="12000">
                  <v:path/>
                  <v:fill on="t" color2="#FFFFFF" opacity="11141f" focussize="0,0"/>
                  <v:stroke/>
                  <v:imagedata o:title=""/>
                  <o:lock v:ext="edit" aspectratio="f"/>
                  <v:textpath on="t" fitshape="t" fitpath="t" trim="t" xscale="f" string="MODELO" style="font-family:Arial Black;font-size:36pt;v-text-align:center;"/>
                </v:shape>
              </w:pict>
            </w:r>
            <w:r>
              <w:rPr>
                <w:rFonts w:hint="default" w:ascii="Arial Nova Cond" w:hAnsi="Arial Nova Cond" w:eastAsia="Aptos Narrow" w:cs="Arial Nova Cond"/>
                <w:i w:val="0"/>
                <w:iCs w:val="0"/>
                <w:color w:val="000000"/>
                <w:kern w:val="0"/>
                <w:sz w:val="18"/>
                <w:szCs w:val="18"/>
                <w:u w:val="none"/>
                <w:lang w:val="en-US" w:eastAsia="zh-CN" w:bidi="ar"/>
              </w:rPr>
              <w:t>m pães, torradas, sanduíches, massas, tortas, entre outras preparações culinárias diversas; validade mínima de 80% do prazo inicial ainda válido, contado a partir da data de entrega; produto deve atender às normas da ANVISA e legislações vigentes.</w:t>
            </w:r>
          </w:p>
        </w:tc>
        <w:tc>
          <w:tcPr>
            <w:tcW w:w="1254" w:type="dxa"/>
            <w:shd w:val="clear" w:color="auto" w:fill="FBE4E8"/>
            <w:vAlign w:val="center"/>
          </w:tcPr>
          <w:p w14:paraId="0490AB8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0960EA4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200 g</w:t>
            </w:r>
          </w:p>
        </w:tc>
        <w:tc>
          <w:tcPr>
            <w:tcW w:w="744" w:type="dxa"/>
            <w:shd w:val="clear" w:color="auto" w:fill="FBE4E8"/>
            <w:vAlign w:val="center"/>
          </w:tcPr>
          <w:p w14:paraId="4633326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560</w:t>
            </w:r>
          </w:p>
        </w:tc>
        <w:tc>
          <w:tcPr>
            <w:tcW w:w="1074" w:type="dxa"/>
            <w:shd w:val="clear" w:color="auto" w:fill="FBE4E8"/>
            <w:vAlign w:val="center"/>
          </w:tcPr>
          <w:p w14:paraId="5891AD4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50B4FCE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032FD2E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42DB50F">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1011" w:hRule="atLeast"/>
        </w:trPr>
        <w:tc>
          <w:tcPr>
            <w:tcW w:w="480" w:type="dxa"/>
            <w:shd w:val="clear" w:color="auto" w:fill="FFFFFF"/>
            <w:vAlign w:val="center"/>
          </w:tcPr>
          <w:p w14:paraId="339B589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36</w:t>
            </w:r>
          </w:p>
        </w:tc>
        <w:tc>
          <w:tcPr>
            <w:tcW w:w="448" w:type="dxa"/>
            <w:shd w:val="clear" w:color="auto" w:fill="FFFFFF"/>
            <w:vAlign w:val="center"/>
          </w:tcPr>
          <w:p w14:paraId="16E217E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20189AE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87903</w:t>
            </w:r>
          </w:p>
        </w:tc>
        <w:tc>
          <w:tcPr>
            <w:tcW w:w="6839" w:type="dxa"/>
            <w:shd w:val="clear" w:color="auto" w:fill="FFFFFF"/>
            <w:vAlign w:val="center"/>
          </w:tcPr>
          <w:p w14:paraId="7803B16A">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Pêssego em Calda:</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fatias ou metades de pêssegos conservados em calda doce, de cor amarela a alaranjada, com sabor doce e aroma característico da fruta; utilizado em sobremesas, como recheios de tortas, bolos, ou como acompanhamento de iogurtes e outras preparações culinárias; validade mínima de 80% do prazo inicial ainda válido, contado a partir da data de entrega; produto deve atender às normas da ANVISA e legislações vigentes.</w:t>
            </w:r>
          </w:p>
        </w:tc>
        <w:tc>
          <w:tcPr>
            <w:tcW w:w="1254" w:type="dxa"/>
            <w:shd w:val="clear" w:color="auto" w:fill="FFFFFF"/>
            <w:vAlign w:val="center"/>
          </w:tcPr>
          <w:p w14:paraId="6B7CEBE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7E933A9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450 g</w:t>
            </w:r>
          </w:p>
        </w:tc>
        <w:tc>
          <w:tcPr>
            <w:tcW w:w="744" w:type="dxa"/>
            <w:shd w:val="clear" w:color="auto" w:fill="FFFFFF"/>
            <w:vAlign w:val="center"/>
          </w:tcPr>
          <w:p w14:paraId="7499958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1500</w:t>
            </w:r>
          </w:p>
        </w:tc>
        <w:tc>
          <w:tcPr>
            <w:tcW w:w="1074" w:type="dxa"/>
            <w:shd w:val="clear" w:color="auto" w:fill="FFFFFF"/>
            <w:vAlign w:val="center"/>
          </w:tcPr>
          <w:p w14:paraId="48CE1EA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5C577165">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FFFFF"/>
            <w:vAlign w:val="center"/>
          </w:tcPr>
          <w:p w14:paraId="271FE5E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0E0DFE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548" w:hRule="atLeast"/>
        </w:trPr>
        <w:tc>
          <w:tcPr>
            <w:tcW w:w="480" w:type="dxa"/>
            <w:vMerge w:val="restart"/>
            <w:shd w:val="clear" w:color="auto" w:fill="FBE4E8"/>
            <w:vAlign w:val="center"/>
          </w:tcPr>
          <w:p w14:paraId="51CA3D17">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37</w:t>
            </w:r>
          </w:p>
        </w:tc>
        <w:tc>
          <w:tcPr>
            <w:tcW w:w="448" w:type="dxa"/>
            <w:shd w:val="clear" w:color="auto" w:fill="FBE4E8"/>
            <w:vAlign w:val="center"/>
          </w:tcPr>
          <w:p w14:paraId="06A1503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63AD951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87904</w:t>
            </w:r>
          </w:p>
        </w:tc>
        <w:tc>
          <w:tcPr>
            <w:tcW w:w="6839" w:type="dxa"/>
            <w:shd w:val="clear" w:color="auto" w:fill="FBE4E8"/>
            <w:vAlign w:val="center"/>
          </w:tcPr>
          <w:p w14:paraId="04BA6C21">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Bolo Pronto: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macio e úmido, com textura e sabor característicos; sem recheio; sabores diversos; adequado para consumo imediato; validade mínima de 80% do prazo inicial ainda válido, contado a partir da data de entrega; produto deve atender às normas da ANVISA e legislações vigentes.</w:t>
            </w:r>
          </w:p>
        </w:tc>
        <w:tc>
          <w:tcPr>
            <w:tcW w:w="1254" w:type="dxa"/>
            <w:shd w:val="clear" w:color="auto" w:fill="FBE4E8"/>
            <w:vAlign w:val="center"/>
          </w:tcPr>
          <w:p w14:paraId="6B25870A">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149988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250 g</w:t>
            </w:r>
          </w:p>
        </w:tc>
        <w:tc>
          <w:tcPr>
            <w:tcW w:w="744" w:type="dxa"/>
            <w:shd w:val="clear" w:color="auto" w:fill="FBE4E8"/>
            <w:vAlign w:val="center"/>
          </w:tcPr>
          <w:p w14:paraId="567D9DE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1640</w:t>
            </w:r>
          </w:p>
        </w:tc>
        <w:tc>
          <w:tcPr>
            <w:tcW w:w="1074" w:type="dxa"/>
            <w:shd w:val="clear" w:color="auto" w:fill="FBE4E8"/>
            <w:vAlign w:val="center"/>
          </w:tcPr>
          <w:p w14:paraId="379EECE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569DDB4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BE4E8"/>
            <w:vAlign w:val="center"/>
          </w:tcPr>
          <w:p w14:paraId="50478E3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0984DF21">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496" w:hRule="atLeast"/>
        </w:trPr>
        <w:tc>
          <w:tcPr>
            <w:tcW w:w="480" w:type="dxa"/>
            <w:vMerge w:val="continue"/>
            <w:shd w:val="clear" w:color="auto" w:fill="FFFFFF"/>
            <w:vAlign w:val="center"/>
          </w:tcPr>
          <w:p w14:paraId="321A2703">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BE4E8"/>
            <w:vAlign w:val="center"/>
          </w:tcPr>
          <w:p w14:paraId="0797C78B">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2</w:t>
            </w:r>
          </w:p>
        </w:tc>
        <w:tc>
          <w:tcPr>
            <w:tcW w:w="792" w:type="dxa"/>
            <w:shd w:val="clear" w:color="auto" w:fill="FBE4E8"/>
            <w:vAlign w:val="center"/>
          </w:tcPr>
          <w:p w14:paraId="7BE9C55D">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87905</w:t>
            </w:r>
          </w:p>
        </w:tc>
        <w:tc>
          <w:tcPr>
            <w:tcW w:w="6839" w:type="dxa"/>
            <w:shd w:val="clear" w:color="auto" w:fill="FBE4E8"/>
            <w:vAlign w:val="center"/>
          </w:tcPr>
          <w:p w14:paraId="5182CE49">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Bolinho Recheado: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macio; recheio interno de sabores variados; adequado para consumo direto; validade mínima de 80% do prazo inicial ainda válido, contado a partir da data de entrega; produto deve atender às normas da ANVISA e legislações vigentes.</w:t>
            </w:r>
          </w:p>
        </w:tc>
        <w:tc>
          <w:tcPr>
            <w:tcW w:w="1254" w:type="dxa"/>
            <w:shd w:val="clear" w:color="auto" w:fill="FBE4E8"/>
            <w:vAlign w:val="center"/>
          </w:tcPr>
          <w:p w14:paraId="1797B34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7187A23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40 g</w:t>
            </w:r>
          </w:p>
        </w:tc>
        <w:tc>
          <w:tcPr>
            <w:tcW w:w="744" w:type="dxa"/>
            <w:shd w:val="clear" w:color="auto" w:fill="FBE4E8"/>
            <w:vAlign w:val="center"/>
          </w:tcPr>
          <w:p w14:paraId="2144818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2500</w:t>
            </w:r>
          </w:p>
        </w:tc>
        <w:tc>
          <w:tcPr>
            <w:tcW w:w="1074" w:type="dxa"/>
            <w:shd w:val="clear" w:color="auto" w:fill="FBE4E8"/>
            <w:vAlign w:val="center"/>
          </w:tcPr>
          <w:p w14:paraId="0E04B93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4333716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FFFFF"/>
            <w:vAlign w:val="center"/>
          </w:tcPr>
          <w:p w14:paraId="439CD0A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798C3103">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tblCellMar>
            <w:top w:w="0" w:type="dxa"/>
            <w:left w:w="108" w:type="dxa"/>
            <w:bottom w:w="0" w:type="dxa"/>
            <w:right w:w="108" w:type="dxa"/>
          </w:tblCellMar>
        </w:tblPrEx>
        <w:trPr>
          <w:trHeight w:val="628" w:hRule="atLeast"/>
        </w:trPr>
        <w:tc>
          <w:tcPr>
            <w:tcW w:w="480" w:type="dxa"/>
            <w:vMerge w:val="restart"/>
            <w:shd w:val="clear" w:color="auto" w:fill="FFFFFF"/>
            <w:vAlign w:val="center"/>
          </w:tcPr>
          <w:p w14:paraId="3149775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38</w:t>
            </w:r>
          </w:p>
        </w:tc>
        <w:tc>
          <w:tcPr>
            <w:tcW w:w="448" w:type="dxa"/>
            <w:shd w:val="clear" w:color="auto" w:fill="FFFFFF"/>
            <w:vAlign w:val="center"/>
          </w:tcPr>
          <w:p w14:paraId="4266F88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FFFFF"/>
            <w:vAlign w:val="center"/>
          </w:tcPr>
          <w:p w14:paraId="5B2CD87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87906</w:t>
            </w:r>
          </w:p>
        </w:tc>
        <w:tc>
          <w:tcPr>
            <w:tcW w:w="6839" w:type="dxa"/>
            <w:shd w:val="clear" w:color="auto" w:fill="FFFFFF"/>
            <w:vAlign w:val="center"/>
          </w:tcPr>
          <w:p w14:paraId="0BC5EB4B">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Wafer de Chocolate (Bis ou Equivalente):</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crocante, com camadas finas de wafer e cobertura de chocolate, de cor marrom escuro, com sabor doce e aroma característico do chocolate; validade mínima de 80% do prazo inicial ainda válido, contado a partir da data de entrega; produto deve atender às normas da ANVISA e legislações vigentes.</w:t>
            </w:r>
          </w:p>
        </w:tc>
        <w:tc>
          <w:tcPr>
            <w:tcW w:w="1254" w:type="dxa"/>
            <w:shd w:val="clear" w:color="auto" w:fill="FFFFFF"/>
            <w:vAlign w:val="center"/>
          </w:tcPr>
          <w:p w14:paraId="55B892E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660CC881">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100,8 g</w:t>
            </w:r>
          </w:p>
        </w:tc>
        <w:tc>
          <w:tcPr>
            <w:tcW w:w="744" w:type="dxa"/>
            <w:shd w:val="clear" w:color="auto" w:fill="FFFFFF"/>
            <w:vAlign w:val="center"/>
          </w:tcPr>
          <w:p w14:paraId="6C50B51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1700</w:t>
            </w:r>
          </w:p>
        </w:tc>
        <w:tc>
          <w:tcPr>
            <w:tcW w:w="1074" w:type="dxa"/>
            <w:shd w:val="clear" w:color="auto" w:fill="FFFFFF"/>
            <w:vAlign w:val="center"/>
          </w:tcPr>
          <w:p w14:paraId="1D651D28">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09AB2CB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restart"/>
            <w:shd w:val="clear" w:color="auto" w:fill="FFFFFF"/>
            <w:vAlign w:val="center"/>
          </w:tcPr>
          <w:p w14:paraId="59A9DFE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p>
        </w:tc>
      </w:tr>
      <w:tr w14:paraId="57989DB5">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803" w:hRule="atLeast"/>
        </w:trPr>
        <w:tc>
          <w:tcPr>
            <w:tcW w:w="480" w:type="dxa"/>
            <w:vMerge w:val="continue"/>
            <w:shd w:val="clear" w:color="auto" w:fill="FFFFFF"/>
            <w:vAlign w:val="center"/>
          </w:tcPr>
          <w:p w14:paraId="5C473C62">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7EA89464">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kern w:val="0"/>
                <w:sz w:val="18"/>
                <w:szCs w:val="18"/>
                <w:u w:val="none"/>
                <w:lang w:val="pt-BR" w:eastAsia="zh-CN" w:bidi="ar"/>
              </w:rPr>
              <w:t>2</w:t>
            </w:r>
          </w:p>
        </w:tc>
        <w:tc>
          <w:tcPr>
            <w:tcW w:w="792" w:type="dxa"/>
            <w:shd w:val="clear" w:color="auto" w:fill="FFFFFF"/>
            <w:vAlign w:val="center"/>
          </w:tcPr>
          <w:p w14:paraId="7C8A698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87907</w:t>
            </w:r>
          </w:p>
        </w:tc>
        <w:tc>
          <w:tcPr>
            <w:tcW w:w="6839" w:type="dxa"/>
            <w:shd w:val="clear" w:color="auto" w:fill="FFFFFF"/>
            <w:vAlign w:val="center"/>
          </w:tcPr>
          <w:p w14:paraId="51CEDE0E">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Caixa de Variedades (chocolates):</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embalagem contendo chocolates diversos (bombons, trufas, tabletes, entre outros), com cores e formatos variados, com sabor e aroma característicos de chocolate, podendo ser ao leite, amargo ou branco; adequado para consumo direto, como presente ou sobremesa; validade mínima de 80% do prazo inicial ainda válido, contado a partir da data de entrega; produto deve atender às normas da ANVISA e legislações vigentes.</w:t>
            </w:r>
          </w:p>
        </w:tc>
        <w:tc>
          <w:tcPr>
            <w:tcW w:w="1254" w:type="dxa"/>
            <w:shd w:val="clear" w:color="auto" w:fill="FFFFFF"/>
            <w:vAlign w:val="center"/>
          </w:tcPr>
          <w:p w14:paraId="589F634C">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0657916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250 g</w:t>
            </w:r>
          </w:p>
        </w:tc>
        <w:tc>
          <w:tcPr>
            <w:tcW w:w="744" w:type="dxa"/>
            <w:shd w:val="clear" w:color="auto" w:fill="FFFFFF"/>
            <w:vAlign w:val="center"/>
          </w:tcPr>
          <w:p w14:paraId="5B070FC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1620</w:t>
            </w:r>
          </w:p>
        </w:tc>
        <w:tc>
          <w:tcPr>
            <w:tcW w:w="1074" w:type="dxa"/>
            <w:shd w:val="clear" w:color="auto" w:fill="FFFFFF"/>
            <w:vAlign w:val="center"/>
          </w:tcPr>
          <w:p w14:paraId="33592EDE">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7DC833A2">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FFFFF"/>
            <w:vAlign w:val="center"/>
          </w:tcPr>
          <w:p w14:paraId="031ACE7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3FE9D38D">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88" w:hRule="atLeast"/>
        </w:trPr>
        <w:tc>
          <w:tcPr>
            <w:tcW w:w="480" w:type="dxa"/>
            <w:vMerge w:val="continue"/>
            <w:shd w:val="clear" w:color="auto" w:fill="FFFFFF"/>
            <w:vAlign w:val="center"/>
          </w:tcPr>
          <w:p w14:paraId="3033DBE0">
            <w:pPr>
              <w:jc w:val="center"/>
              <w:rPr>
                <w:rFonts w:hint="default" w:ascii="Arial Nova Cond" w:hAnsi="Arial Nova Cond" w:eastAsia="Aptos Narrow" w:cs="Arial Nova Cond"/>
                <w:b/>
                <w:bCs/>
                <w:i w:val="0"/>
                <w:iCs w:val="0"/>
                <w:color w:val="000000"/>
                <w:sz w:val="18"/>
                <w:szCs w:val="18"/>
                <w:u w:val="none"/>
              </w:rPr>
            </w:pPr>
          </w:p>
        </w:tc>
        <w:tc>
          <w:tcPr>
            <w:tcW w:w="448" w:type="dxa"/>
            <w:shd w:val="clear" w:color="auto" w:fill="FFFFFF"/>
            <w:vAlign w:val="center"/>
          </w:tcPr>
          <w:p w14:paraId="1FF574B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lang w:val="pt-BR"/>
              </w:rPr>
            </w:pPr>
            <w:r>
              <w:rPr>
                <w:rFonts w:hint="default" w:ascii="Arial Nova Cond" w:hAnsi="Arial Nova Cond" w:eastAsia="Aptos Narrow" w:cs="Arial Nova Cond"/>
                <w:b w:val="0"/>
                <w:bCs w:val="0"/>
                <w:i w:val="0"/>
                <w:iCs w:val="0"/>
                <w:color w:val="000000"/>
                <w:sz w:val="18"/>
                <w:szCs w:val="18"/>
                <w:u w:val="none"/>
                <w:lang w:val="pt-BR"/>
              </w:rPr>
              <w:t>3</w:t>
            </w:r>
          </w:p>
        </w:tc>
        <w:tc>
          <w:tcPr>
            <w:tcW w:w="792" w:type="dxa"/>
            <w:shd w:val="clear" w:color="auto" w:fill="FFFFFF"/>
            <w:vAlign w:val="center"/>
          </w:tcPr>
          <w:p w14:paraId="36104057">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87908</w:t>
            </w:r>
          </w:p>
        </w:tc>
        <w:tc>
          <w:tcPr>
            <w:tcW w:w="6839" w:type="dxa"/>
            <w:shd w:val="clear" w:color="auto" w:fill="FFFFFF"/>
            <w:vAlign w:val="center"/>
          </w:tcPr>
          <w:p w14:paraId="2F1CBD8D">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Bombom:</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de pequeno doce coberto com chocolate branco ou convencional (conforme solicitação da contratante), com recheio cremoso ou sólido; validade mínima de 80% do prazo inicial ainda válido, contado a partir da data de entrega; produto deve atender às normas da ANVISA e legislações vigentes.</w:t>
            </w:r>
          </w:p>
        </w:tc>
        <w:tc>
          <w:tcPr>
            <w:tcW w:w="1254" w:type="dxa"/>
            <w:shd w:val="clear" w:color="auto" w:fill="FFFFFF"/>
            <w:vAlign w:val="center"/>
          </w:tcPr>
          <w:p w14:paraId="2E3D6C4B">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FFFFF"/>
            <w:vAlign w:val="center"/>
          </w:tcPr>
          <w:p w14:paraId="2255084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1 kg</w:t>
            </w:r>
          </w:p>
        </w:tc>
        <w:tc>
          <w:tcPr>
            <w:tcW w:w="744" w:type="dxa"/>
            <w:shd w:val="clear" w:color="auto" w:fill="FFFFFF"/>
            <w:vAlign w:val="center"/>
          </w:tcPr>
          <w:p w14:paraId="281EA23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250</w:t>
            </w:r>
          </w:p>
        </w:tc>
        <w:tc>
          <w:tcPr>
            <w:tcW w:w="1074" w:type="dxa"/>
            <w:shd w:val="clear" w:color="auto" w:fill="FFFFFF"/>
            <w:vAlign w:val="center"/>
          </w:tcPr>
          <w:p w14:paraId="77FD411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FFFFF"/>
            <w:vAlign w:val="center"/>
          </w:tcPr>
          <w:p w14:paraId="1BF1C34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vMerge w:val="continue"/>
            <w:shd w:val="clear" w:color="auto" w:fill="FFFFFF"/>
            <w:vAlign w:val="center"/>
          </w:tcPr>
          <w:p w14:paraId="29E738BA">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r w14:paraId="544B802B">
        <w:tblPrEx>
          <w:tblBorders>
            <w:top w:val="dashSmallGap" w:color="911527" w:sz="8" w:space="0"/>
            <w:left w:val="dashSmallGap" w:color="911527" w:sz="8" w:space="0"/>
            <w:bottom w:val="dashSmallGap" w:color="911527" w:sz="8" w:space="0"/>
            <w:right w:val="dashSmallGap" w:color="911527" w:sz="8" w:space="0"/>
            <w:insideH w:val="dashSmallGap" w:color="911527" w:sz="8" w:space="0"/>
            <w:insideV w:val="dashSmallGap" w:color="911527" w:sz="8" w:space="0"/>
          </w:tblBorders>
          <w:shd w:val="clear" w:color="auto" w:fill="auto"/>
          <w:tblCellMar>
            <w:top w:w="0" w:type="dxa"/>
            <w:left w:w="108" w:type="dxa"/>
            <w:bottom w:w="0" w:type="dxa"/>
            <w:right w:w="108" w:type="dxa"/>
          </w:tblCellMar>
        </w:tblPrEx>
        <w:trPr>
          <w:trHeight w:val="670" w:hRule="atLeast"/>
        </w:trPr>
        <w:tc>
          <w:tcPr>
            <w:tcW w:w="480" w:type="dxa"/>
            <w:shd w:val="clear" w:color="auto" w:fill="FBE4E8"/>
            <w:vAlign w:val="center"/>
          </w:tcPr>
          <w:p w14:paraId="46D9F093">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39</w:t>
            </w:r>
          </w:p>
        </w:tc>
        <w:tc>
          <w:tcPr>
            <w:tcW w:w="448" w:type="dxa"/>
            <w:shd w:val="clear" w:color="auto" w:fill="FBE4E8"/>
            <w:vAlign w:val="center"/>
          </w:tcPr>
          <w:p w14:paraId="337997F0">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1</w:t>
            </w:r>
          </w:p>
        </w:tc>
        <w:tc>
          <w:tcPr>
            <w:tcW w:w="792" w:type="dxa"/>
            <w:shd w:val="clear" w:color="auto" w:fill="FBE4E8"/>
            <w:vAlign w:val="center"/>
          </w:tcPr>
          <w:p w14:paraId="3537192F">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87909</w:t>
            </w:r>
          </w:p>
        </w:tc>
        <w:tc>
          <w:tcPr>
            <w:tcW w:w="6839" w:type="dxa"/>
            <w:shd w:val="clear" w:color="auto" w:fill="FBE4E8"/>
            <w:vAlign w:val="center"/>
          </w:tcPr>
          <w:p w14:paraId="2030ECD7">
            <w:pPr>
              <w:keepNext w:val="0"/>
              <w:keepLines w:val="0"/>
              <w:widowControl/>
              <w:suppressLineNumbers w:val="0"/>
              <w:jc w:val="both"/>
              <w:textAlignment w:val="center"/>
              <w:rPr>
                <w:rFonts w:hint="default" w:ascii="Arial Nova Cond" w:hAnsi="Arial Nova Cond" w:eastAsia="Aptos Narrow" w:cs="Arial Nova Cond"/>
                <w:i w:val="0"/>
                <w:iCs w:val="0"/>
                <w:color w:val="000000"/>
                <w:sz w:val="18"/>
                <w:szCs w:val="18"/>
                <w:u w:val="none"/>
              </w:rPr>
            </w:pPr>
            <w:r>
              <w:rPr>
                <w:rStyle w:val="150"/>
                <w:rFonts w:hint="default" w:ascii="Arial Nova Cond" w:hAnsi="Arial Nova Cond" w:eastAsia="Aptos Narrow" w:cs="Arial Nova Cond"/>
                <w:sz w:val="18"/>
                <w:szCs w:val="18"/>
                <w:lang w:val="en-US" w:eastAsia="zh-CN" w:bidi="ar"/>
              </w:rPr>
              <w:t>Salgadinho de Milho:</w:t>
            </w:r>
            <w:r>
              <w:rPr>
                <w:rFonts w:hint="default" w:ascii="Arial Nova Cond" w:hAnsi="Arial Nova Cond" w:eastAsia="Aptos Narrow" w:cs="Arial Nova Cond"/>
                <w:i w:val="0"/>
                <w:iCs w:val="0"/>
                <w:color w:val="000000"/>
                <w:kern w:val="0"/>
                <w:sz w:val="18"/>
                <w:szCs w:val="18"/>
                <w:u w:val="none"/>
                <w:lang w:val="en-US" w:eastAsia="zh-CN" w:bidi="ar"/>
              </w:rPr>
              <w:t xml:space="preserve"> composição característica e de acordo com o permitido pela legislação vigente; aspecto crocante; com cor amarela ou doura</w:t>
            </w:r>
            <w:r>
              <w:rPr>
                <w:rFonts w:hint="default" w:ascii="Arial Nova Cond" w:hAnsi="Arial Nova Cond" w:eastAsia="Times New Roman" w:cs="Arial Nova Cond"/>
                <w:color w:val="000000"/>
                <w:kern w:val="0"/>
                <w:sz w:val="16"/>
                <w:szCs w:val="16"/>
                <w:u w:val="none"/>
                <w:vertAlign w:val="baseline"/>
                <w:lang w:val="en-US" w:eastAsia="en-US" w:bidi="ar"/>
              </w:rPr>
              <w:pict>
                <v:shape id="_x0000_s1065" o:spid="_x0000_s1065" o:spt="172" type="#_x0000_t172" style="position:absolute;left:0pt;margin-left:92.9pt;margin-top:95.75pt;height:129.55pt;width:394.2pt;rotation:-1376256f;z-index:251684864;mso-width-relative:page;mso-height-relative:page;" fillcolor="#000000" filled="t" stroked="t" coordsize="21600,21600" adj="12000">
                  <v:path/>
                  <v:fill on="t" color2="#FFFFFF" opacity="11141f" focussize="0,0"/>
                  <v:stroke/>
                  <v:imagedata o:title=""/>
                  <o:lock v:ext="edit" aspectratio="f"/>
                  <v:textpath on="t" fitshape="t" fitpath="t" trim="t" xscale="f" string="MODELO" style="font-family:Arial Black;font-size:36pt;v-text-align:center;"/>
                </v:shape>
              </w:pict>
            </w:r>
            <w:r>
              <w:rPr>
                <w:rFonts w:hint="default" w:ascii="Arial Nova Cond" w:hAnsi="Arial Nova Cond" w:eastAsia="Aptos Narrow" w:cs="Arial Nova Cond"/>
                <w:i w:val="0"/>
                <w:iCs w:val="0"/>
                <w:color w:val="000000"/>
                <w:kern w:val="0"/>
                <w:sz w:val="18"/>
                <w:szCs w:val="18"/>
                <w:u w:val="none"/>
                <w:lang w:val="en-US" w:eastAsia="zh-CN" w:bidi="ar"/>
              </w:rPr>
              <w:t>da; sabores variados; adequado para consumo direto ou em lanches, festas e eventos; validade mínima de 80% do prazo inicial ainda válido, contado a partir da data de entrega; produto deve atender às normas da ANVISA e legislações vigentes.</w:t>
            </w:r>
          </w:p>
        </w:tc>
        <w:tc>
          <w:tcPr>
            <w:tcW w:w="1254" w:type="dxa"/>
            <w:shd w:val="clear" w:color="auto" w:fill="FBE4E8"/>
            <w:vAlign w:val="center"/>
          </w:tcPr>
          <w:p w14:paraId="1042DBD4">
            <w:pPr>
              <w:keepNext w:val="0"/>
              <w:keepLines w:val="0"/>
              <w:widowControl/>
              <w:suppressLineNumbers w:val="0"/>
              <w:jc w:val="center"/>
              <w:textAlignment w:val="center"/>
              <w:rPr>
                <w:rFonts w:hint="default" w:ascii="Arial Nova Cond" w:hAnsi="Arial Nova Cond" w:eastAsia="Aptos Narrow" w:cs="Arial Nova Cond"/>
                <w:b/>
                <w:bCs/>
                <w:i w:val="0"/>
                <w:iCs w:val="0"/>
                <w:color w:val="000000"/>
                <w:kern w:val="0"/>
                <w:sz w:val="18"/>
                <w:szCs w:val="18"/>
                <w:u w:val="none"/>
                <w:lang w:val="en-US" w:eastAsia="zh-CN" w:bidi="ar"/>
              </w:rPr>
            </w:pPr>
          </w:p>
        </w:tc>
        <w:tc>
          <w:tcPr>
            <w:tcW w:w="1254" w:type="dxa"/>
            <w:shd w:val="clear" w:color="auto" w:fill="FBE4E8"/>
            <w:vAlign w:val="center"/>
          </w:tcPr>
          <w:p w14:paraId="6861D01E">
            <w:pPr>
              <w:keepNext w:val="0"/>
              <w:keepLines w:val="0"/>
              <w:widowControl/>
              <w:suppressLineNumbers w:val="0"/>
              <w:jc w:val="center"/>
              <w:textAlignment w:val="center"/>
              <w:rPr>
                <w:rFonts w:hint="default" w:ascii="Arial Nova Cond" w:hAnsi="Arial Nova Cond" w:eastAsia="Aptos Narrow" w:cs="Arial Nova Cond"/>
                <w:b/>
                <w:bCs/>
                <w:i w:val="0"/>
                <w:iCs w:val="0"/>
                <w:color w:val="000000"/>
                <w:sz w:val="18"/>
                <w:szCs w:val="18"/>
                <w:u w:val="none"/>
              </w:rPr>
            </w:pPr>
            <w:r>
              <w:rPr>
                <w:rFonts w:hint="default" w:ascii="Arial Nova Cond" w:hAnsi="Arial Nova Cond" w:eastAsia="Aptos Narrow" w:cs="Arial Nova Cond"/>
                <w:b/>
                <w:bCs/>
                <w:i w:val="0"/>
                <w:iCs w:val="0"/>
                <w:color w:val="000000"/>
                <w:kern w:val="0"/>
                <w:sz w:val="18"/>
                <w:szCs w:val="18"/>
                <w:u w:val="none"/>
                <w:lang w:val="en-US" w:eastAsia="zh-CN" w:bidi="ar"/>
              </w:rPr>
              <w:t>50 g</w:t>
            </w:r>
          </w:p>
        </w:tc>
        <w:tc>
          <w:tcPr>
            <w:tcW w:w="744" w:type="dxa"/>
            <w:shd w:val="clear" w:color="auto" w:fill="FBE4E8"/>
            <w:vAlign w:val="center"/>
          </w:tcPr>
          <w:p w14:paraId="3AF94B2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r>
              <w:rPr>
                <w:rFonts w:hint="default" w:ascii="Arial Nova Cond" w:hAnsi="Arial Nova Cond" w:eastAsia="Aptos Narrow" w:cs="Arial Nova Cond"/>
                <w:b w:val="0"/>
                <w:bCs w:val="0"/>
                <w:i w:val="0"/>
                <w:iCs w:val="0"/>
                <w:color w:val="000000"/>
                <w:kern w:val="0"/>
                <w:sz w:val="18"/>
                <w:szCs w:val="18"/>
                <w:u w:val="none"/>
                <w:lang w:val="en-US" w:eastAsia="zh-CN" w:bidi="ar"/>
              </w:rPr>
              <w:t>4400</w:t>
            </w:r>
          </w:p>
        </w:tc>
        <w:tc>
          <w:tcPr>
            <w:tcW w:w="1074" w:type="dxa"/>
            <w:shd w:val="clear" w:color="auto" w:fill="FBE4E8"/>
            <w:vAlign w:val="center"/>
          </w:tcPr>
          <w:p w14:paraId="06254061">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019" w:type="dxa"/>
            <w:shd w:val="clear" w:color="auto" w:fill="FBE4E8"/>
            <w:vAlign w:val="center"/>
          </w:tcPr>
          <w:p w14:paraId="3D794E1C">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c>
          <w:tcPr>
            <w:tcW w:w="1235" w:type="dxa"/>
            <w:shd w:val="clear" w:color="auto" w:fill="FBE4E8"/>
            <w:vAlign w:val="center"/>
          </w:tcPr>
          <w:p w14:paraId="7139FC13">
            <w:pPr>
              <w:keepNext w:val="0"/>
              <w:keepLines w:val="0"/>
              <w:widowControl/>
              <w:suppressLineNumbers w:val="0"/>
              <w:jc w:val="center"/>
              <w:textAlignment w:val="center"/>
              <w:rPr>
                <w:rFonts w:hint="default" w:ascii="Arial Nova Cond" w:hAnsi="Arial Nova Cond" w:eastAsia="Aptos Narrow" w:cs="Arial Nova Cond"/>
                <w:b w:val="0"/>
                <w:bCs w:val="0"/>
                <w:i w:val="0"/>
                <w:iCs w:val="0"/>
                <w:color w:val="000000"/>
                <w:sz w:val="18"/>
                <w:szCs w:val="18"/>
                <w:u w:val="none"/>
              </w:rPr>
            </w:pPr>
          </w:p>
        </w:tc>
      </w:tr>
    </w:tbl>
    <w:p w14:paraId="5E7D576A">
      <w:pPr>
        <w:pStyle w:val="131"/>
        <w:widowControl/>
        <w:tabs>
          <w:tab w:val="left" w:pos="567"/>
        </w:tabs>
        <w:ind w:left="567" w:hanging="567"/>
        <w:jc w:val="both"/>
        <w:rPr>
          <w:rFonts w:hint="default" w:ascii="Calibri" w:hAnsi="Calibri" w:cs="Calibri"/>
          <w:sz w:val="21"/>
          <w:szCs w:val="21"/>
          <w:lang w:val="pt-BR"/>
        </w:rPr>
      </w:pPr>
    </w:p>
    <w:p w14:paraId="35BE3311">
      <w:pPr>
        <w:numPr>
          <w:ilvl w:val="0"/>
          <w:numId w:val="15"/>
        </w:numPr>
        <w:spacing w:line="240" w:lineRule="auto"/>
        <w:ind w:left="360" w:leftChars="0"/>
        <w:jc w:val="both"/>
        <w:rPr>
          <w:rFonts w:hint="default" w:ascii="Calibri" w:hAnsi="Calibri" w:cs="Calibri"/>
          <w:sz w:val="21"/>
          <w:szCs w:val="21"/>
          <w:highlight w:val="yellow"/>
          <w:u w:val="single"/>
        </w:rPr>
      </w:pPr>
      <w:r>
        <w:rPr>
          <w:rFonts w:hint="default" w:ascii="Calibri" w:hAnsi="Calibri" w:cs="Calibri"/>
          <w:color w:val="000000"/>
          <w:sz w:val="21"/>
          <w:szCs w:val="21"/>
          <w:u w:val="single"/>
        </w:rPr>
        <w:t>Por força da legislação vigente,</w:t>
      </w:r>
      <w:r>
        <w:rPr>
          <w:rFonts w:hint="default" w:ascii="Calibri" w:hAnsi="Calibri" w:cs="Calibri"/>
          <w:color w:val="000000"/>
          <w:sz w:val="21"/>
          <w:szCs w:val="21"/>
          <w:highlight w:val="yellow"/>
          <w:u w:val="single"/>
        </w:rPr>
        <w:t xml:space="preserve"> </w:t>
      </w:r>
      <w:r>
        <w:rPr>
          <w:rFonts w:hint="default" w:ascii="Calibri" w:hAnsi="Calibri" w:cs="Calibri"/>
          <w:color w:val="000000"/>
          <w:sz w:val="21"/>
          <w:szCs w:val="21"/>
          <w:highlight w:val="none"/>
          <w:u w:val="single"/>
          <w:shd w:val="clear" w:fill="A3F7AD"/>
        </w:rPr>
        <w:t>é vedada a identificação do licitante</w:t>
      </w:r>
      <w:r>
        <w:rPr>
          <w:rFonts w:hint="default" w:ascii="Calibri" w:hAnsi="Calibri" w:cs="Calibri"/>
          <w:color w:val="000000"/>
          <w:sz w:val="21"/>
          <w:szCs w:val="21"/>
          <w:highlight w:val="yellow"/>
          <w:u w:val="single"/>
        </w:rPr>
        <w:t>.</w:t>
      </w:r>
    </w:p>
    <w:p w14:paraId="325B977E">
      <w:pPr>
        <w:numPr>
          <w:ilvl w:val="0"/>
          <w:numId w:val="15"/>
        </w:numPr>
        <w:tabs>
          <w:tab w:val="left" w:pos="240"/>
        </w:tabs>
        <w:spacing w:line="240" w:lineRule="auto"/>
        <w:ind w:left="360" w:leftChars="0" w:firstLine="0" w:firstLineChars="0"/>
        <w:jc w:val="both"/>
        <w:rPr>
          <w:rFonts w:hint="default" w:ascii="Calibri" w:hAnsi="Calibri" w:cs="Calibri"/>
          <w:sz w:val="21"/>
          <w:szCs w:val="21"/>
        </w:rPr>
      </w:pPr>
      <w:r>
        <w:rPr>
          <w:rFonts w:hint="default" w:ascii="Calibri" w:hAnsi="Calibri" w:cs="Calibri"/>
          <w:sz w:val="21"/>
          <w:szCs w:val="21"/>
        </w:rPr>
        <w:t>As microempresas e as empresas de pequeno porte, se desejarem fazer uso dos benefícios da Lei Complementar 147/14, deverão informar sua condição de ME ou EPP quando cadastrar sua ficha técnica junto à plataforma que opera a disputa.</w:t>
      </w:r>
    </w:p>
    <w:p w14:paraId="695AD9DB">
      <w:pPr>
        <w:numPr>
          <w:ilvl w:val="0"/>
          <w:numId w:val="15"/>
        </w:numPr>
        <w:tabs>
          <w:tab w:val="left" w:pos="240"/>
        </w:tabs>
        <w:spacing w:line="240" w:lineRule="auto"/>
        <w:ind w:left="360" w:leftChars="0" w:right="-29" w:rightChars="0" w:firstLine="0" w:firstLineChars="0"/>
        <w:jc w:val="both"/>
        <w:rPr>
          <w:rFonts w:hint="default" w:ascii="Calibri" w:hAnsi="Calibri" w:cs="Calibri"/>
          <w:b/>
          <w:sz w:val="21"/>
          <w:szCs w:val="21"/>
        </w:rPr>
      </w:pPr>
      <w:r>
        <w:rPr>
          <w:rFonts w:hint="default" w:ascii="Calibri" w:hAnsi="Calibri" w:cs="Calibri"/>
          <w:sz w:val="21"/>
          <w:szCs w:val="21"/>
        </w:rPr>
        <w:t>Caso a microempresa ou empresa de pequeno porte não proceda da forma estabelecida no item anterior, interpretar-se-á como renuncia tácita aos benefícios da Lei Complementar 147/2014</w:t>
      </w:r>
    </w:p>
    <w:p w14:paraId="3848AF6A">
      <w:pPr>
        <w:rPr>
          <w:rFonts w:hint="default" w:ascii="Calibri" w:hAnsi="Calibri" w:cs="Calibri"/>
          <w:sz w:val="21"/>
          <w:szCs w:val="21"/>
        </w:rPr>
        <w:sectPr>
          <w:pgSz w:w="16838" w:h="11905" w:orient="landscape"/>
          <w:pgMar w:top="1701" w:right="584" w:bottom="986" w:left="1134" w:header="454" w:footer="0" w:gutter="0"/>
          <w:pgBorders>
            <w:top w:val="none" w:sz="0" w:space="0"/>
            <w:left w:val="none" w:sz="0" w:space="0"/>
            <w:bottom w:val="none" w:sz="0" w:space="0"/>
            <w:right w:val="none" w:sz="0" w:space="0"/>
          </w:pgBorders>
          <w:cols w:space="0" w:num="1"/>
          <w:rtlGutter w:val="0"/>
          <w:docGrid w:linePitch="360" w:charSpace="0"/>
        </w:sectPr>
      </w:pPr>
      <w:r>
        <w:rPr>
          <w:rFonts w:hint="default" w:ascii="Calibri" w:hAnsi="Calibri" w:cs="Calibri"/>
          <w:sz w:val="21"/>
          <w:szCs w:val="21"/>
        </w:rPr>
        <w:br w:type="page"/>
      </w:r>
    </w:p>
    <w:p w14:paraId="0C1D76FB">
      <w:pPr>
        <w:numPr>
          <w:ilvl w:val="0"/>
          <w:numId w:val="0"/>
        </w:numPr>
        <w:spacing w:line="240" w:lineRule="auto"/>
        <w:ind w:right="-29" w:rightChars="0"/>
        <w:jc w:val="both"/>
        <w:rPr>
          <w:rFonts w:hint="default" w:ascii="Calibri" w:hAnsi="Calibri" w:cs="Calibri"/>
          <w:sz w:val="21"/>
          <w:szCs w:val="21"/>
        </w:rPr>
      </w:pPr>
    </w:p>
    <w:p w14:paraId="00E1844E">
      <w:pPr>
        <w:numPr>
          <w:ilvl w:val="0"/>
          <w:numId w:val="0"/>
        </w:numPr>
        <w:spacing w:line="300" w:lineRule="atLeast"/>
        <w:ind w:right="-29" w:rightChars="0"/>
        <w:jc w:val="center"/>
        <w:rPr>
          <w:rFonts w:hint="default" w:ascii="Calibri" w:hAnsi="Calibri" w:cs="Calibri"/>
          <w:b/>
          <w:sz w:val="21"/>
          <w:szCs w:val="21"/>
          <w:lang w:val="pt-BR"/>
        </w:rPr>
      </w:pPr>
      <w:r>
        <w:drawing>
          <wp:anchor distT="0" distB="0" distL="114300" distR="114300" simplePos="0" relativeHeight="251675648" behindDoc="1" locked="0" layoutInCell="1" allowOverlap="1">
            <wp:simplePos x="0" y="0"/>
            <wp:positionH relativeFrom="column">
              <wp:posOffset>-80645</wp:posOffset>
            </wp:positionH>
            <wp:positionV relativeFrom="paragraph">
              <wp:posOffset>-173990</wp:posOffset>
            </wp:positionV>
            <wp:extent cx="2503805" cy="479425"/>
            <wp:effectExtent l="0" t="0" r="10795" b="15875"/>
            <wp:wrapNone/>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a:blip r:embed="rId12"/>
                    <a:stretch>
                      <a:fillRect/>
                    </a:stretch>
                  </pic:blipFill>
                  <pic:spPr>
                    <a:xfrm>
                      <a:off x="0" y="0"/>
                      <a:ext cx="2503805" cy="479425"/>
                    </a:xfrm>
                    <a:prstGeom prst="rect">
                      <a:avLst/>
                    </a:prstGeom>
                    <a:noFill/>
                    <a:ln>
                      <a:noFill/>
                    </a:ln>
                  </pic:spPr>
                </pic:pic>
              </a:graphicData>
            </a:graphic>
          </wp:anchor>
        </w:drawing>
      </w:r>
      <w:r>
        <w:rPr>
          <w:rFonts w:hint="default" w:ascii="Calibri" w:hAnsi="Calibri" w:cs="Calibri"/>
          <w:b/>
          <w:sz w:val="21"/>
          <w:szCs w:val="21"/>
          <w:lang w:val="pt-BR"/>
        </w:rPr>
        <w:t xml:space="preserve">                         </w:t>
      </w:r>
    </w:p>
    <w:p w14:paraId="6560ABE4">
      <w:pPr>
        <w:numPr>
          <w:ilvl w:val="0"/>
          <w:numId w:val="0"/>
        </w:numPr>
        <w:spacing w:line="300" w:lineRule="atLeast"/>
        <w:ind w:right="-29" w:rightChars="0"/>
        <w:jc w:val="center"/>
        <w:rPr>
          <w:rFonts w:hint="default" w:ascii="Calibri" w:hAnsi="Calibri" w:cs="Calibri"/>
          <w:b/>
          <w:sz w:val="21"/>
          <w:szCs w:val="21"/>
          <w:lang w:val="pt-BR"/>
        </w:rPr>
      </w:pPr>
      <w:r>
        <w:rPr>
          <w:rFonts w:hint="default" w:ascii="Calibri" w:hAnsi="Calibri" w:cs="Calibri"/>
          <w:b/>
          <w:sz w:val="21"/>
          <w:szCs w:val="21"/>
          <w:lang w:val="pt-BR"/>
        </w:rPr>
        <w:t xml:space="preserve">  </w:t>
      </w:r>
    </w:p>
    <w:p w14:paraId="4845EB9D">
      <w:pPr>
        <w:numPr>
          <w:ilvl w:val="0"/>
          <w:numId w:val="0"/>
        </w:numPr>
        <w:shd w:val="clear" w:fill="F2B1BC"/>
        <w:spacing w:line="300" w:lineRule="atLeast"/>
        <w:ind w:right="-29" w:rightChars="0"/>
        <w:jc w:val="center"/>
        <w:rPr>
          <w:rFonts w:hint="default" w:ascii="Calibri" w:hAnsi="Calibri" w:cs="Calibri"/>
          <w:b/>
          <w:sz w:val="21"/>
          <w:szCs w:val="21"/>
        </w:rPr>
      </w:pPr>
      <w:r>
        <w:rPr>
          <w:rFonts w:hint="default" w:ascii="Calibri" w:hAnsi="Calibri" w:cs="Calibri"/>
          <w:b/>
          <w:sz w:val="21"/>
          <w:szCs w:val="21"/>
          <w:highlight w:val="none"/>
          <w:shd w:val="clear" w:fill="F2B1BC"/>
        </w:rPr>
        <w:t xml:space="preserve">ANEXO </w:t>
      </w:r>
      <w:r>
        <w:rPr>
          <w:rFonts w:hint="default" w:ascii="Calibri" w:hAnsi="Calibri" w:cs="Calibri"/>
          <w:b/>
          <w:sz w:val="21"/>
          <w:szCs w:val="21"/>
          <w:highlight w:val="none"/>
          <w:shd w:val="clear" w:fill="F2B1BC"/>
          <w:lang w:val="pt-BR"/>
        </w:rPr>
        <w:t>X</w:t>
      </w:r>
      <w:r>
        <w:rPr>
          <w:rFonts w:hint="default" w:ascii="Calibri" w:hAnsi="Calibri" w:cs="Calibri"/>
          <w:b/>
          <w:sz w:val="21"/>
          <w:szCs w:val="21"/>
          <w:highlight w:val="none"/>
          <w:shd w:val="clear" w:fill="F2B1BC"/>
        </w:rPr>
        <w:t xml:space="preserve"> – Regulamento do Sistema Eletrônico de Licitaçõe</w:t>
      </w:r>
      <w:r>
        <w:rPr>
          <w:rFonts w:hint="default" w:ascii="Calibri" w:hAnsi="Calibri" w:cs="Calibri"/>
          <w:b/>
          <w:sz w:val="21"/>
          <w:szCs w:val="21"/>
          <w:highlight w:val="none"/>
          <w:shd w:val="clear" w:fill="A3F7AD"/>
        </w:rPr>
        <w:t>s</w:t>
      </w:r>
    </w:p>
    <w:p w14:paraId="76581C73">
      <w:pPr>
        <w:spacing w:line="360" w:lineRule="auto"/>
        <w:jc w:val="center"/>
        <w:rPr>
          <w:rFonts w:hint="default" w:ascii="Calibri" w:hAnsi="Calibri" w:cs="Calibri"/>
          <w:sz w:val="21"/>
          <w:szCs w:val="21"/>
        </w:rPr>
      </w:pPr>
    </w:p>
    <w:p w14:paraId="46A6F504">
      <w:pPr>
        <w:jc w:val="both"/>
        <w:rPr>
          <w:rFonts w:hint="default" w:ascii="Calibri" w:hAnsi="Calibri" w:cs="Calibri"/>
          <w:b/>
          <w:sz w:val="14"/>
          <w:szCs w:val="14"/>
        </w:rPr>
      </w:pPr>
      <w:r>
        <w:rPr>
          <w:rFonts w:hint="default" w:ascii="Calibri" w:hAnsi="Calibri" w:cs="Calibri"/>
          <w:b/>
          <w:sz w:val="14"/>
          <w:szCs w:val="14"/>
        </w:rPr>
        <w:t xml:space="preserve">Para participar das licitações, os interessados devem se credenciar no sistema BBMNET, conforme instruções contidas no link   </w:t>
      </w:r>
      <w:r>
        <w:rPr>
          <w:rFonts w:hint="default" w:ascii="Calibri" w:hAnsi="Calibri"/>
          <w:b/>
          <w:sz w:val="14"/>
          <w:szCs w:val="14"/>
        </w:rPr>
        <w:fldChar w:fldCharType="begin"/>
      </w:r>
      <w:r>
        <w:rPr>
          <w:rFonts w:hint="default" w:ascii="Calibri" w:hAnsi="Calibri"/>
          <w:b/>
          <w:sz w:val="14"/>
          <w:szCs w:val="14"/>
        </w:rPr>
        <w:instrText xml:space="preserve"> HYPERLINK "https://novobbmnet.com.br/licitante-fornecedor/" </w:instrText>
      </w:r>
      <w:r>
        <w:rPr>
          <w:rFonts w:hint="default" w:ascii="Calibri" w:hAnsi="Calibri"/>
          <w:b/>
          <w:sz w:val="14"/>
          <w:szCs w:val="14"/>
        </w:rPr>
        <w:fldChar w:fldCharType="separate"/>
      </w:r>
      <w:r>
        <w:rPr>
          <w:rStyle w:val="13"/>
          <w:rFonts w:hint="default" w:ascii="Calibri" w:hAnsi="Calibri"/>
          <w:b/>
          <w:sz w:val="14"/>
          <w:szCs w:val="14"/>
        </w:rPr>
        <w:t>https://novobbmnet.com.br/licitante-fornecedor/</w:t>
      </w:r>
      <w:r>
        <w:rPr>
          <w:rFonts w:hint="default" w:ascii="Calibri" w:hAnsi="Calibri"/>
          <w:b/>
          <w:sz w:val="14"/>
          <w:szCs w:val="14"/>
        </w:rPr>
        <w:fldChar w:fldCharType="end"/>
      </w:r>
    </w:p>
    <w:p w14:paraId="1F8CEBD8">
      <w:pPr>
        <w:jc w:val="center"/>
        <w:rPr>
          <w:rFonts w:hint="default" w:ascii="Calibri" w:hAnsi="Calibri" w:cs="Calibri"/>
          <w:b/>
          <w:sz w:val="14"/>
          <w:szCs w:val="14"/>
        </w:rPr>
      </w:pPr>
    </w:p>
    <w:p w14:paraId="4C6EDE77">
      <w:pPr>
        <w:jc w:val="both"/>
        <w:rPr>
          <w:rFonts w:hint="default" w:ascii="Calibri" w:hAnsi="Calibri" w:cs="Calibri"/>
          <w:color w:val="000000"/>
          <w:sz w:val="14"/>
          <w:szCs w:val="14"/>
        </w:rPr>
      </w:pPr>
      <w:r>
        <w:rPr>
          <w:rFonts w:hint="default" w:ascii="Calibri" w:hAnsi="Calibri" w:cs="Calibri"/>
          <w:b/>
          <w:sz w:val="14"/>
          <w:szCs w:val="14"/>
        </w:rPr>
        <w:t xml:space="preserve">CREDENCIAMENTO: </w:t>
      </w:r>
      <w:r>
        <w:rPr>
          <w:rFonts w:hint="default" w:ascii="Calibri" w:hAnsi="Calibri" w:cs="Calibri"/>
          <w:sz w:val="14"/>
          <w:szCs w:val="14"/>
        </w:rPr>
        <w:t xml:space="preserve">o credenciamento de quem participa das licitações no caso “os licitantes” podem ser feito </w:t>
      </w:r>
      <w:r>
        <w:rPr>
          <w:rFonts w:hint="default" w:ascii="Calibri" w:hAnsi="Calibri" w:cs="Calibri"/>
          <w:color w:val="000000"/>
          <w:sz w:val="14"/>
          <w:szCs w:val="14"/>
        </w:rPr>
        <w:t xml:space="preserve"> diretamente na Bolsa Brasileira de Mercadorias dá acesso às licitações promovidas por órgãos públicos, mas impede o acesso às licitações promovidas por empresas do setor privado. </w:t>
      </w:r>
      <w:r>
        <w:rPr>
          <w:rFonts w:hint="default" w:ascii="Calibri" w:hAnsi="Calibri"/>
          <w:color w:val="000000"/>
          <w:sz w:val="14"/>
          <w:szCs w:val="14"/>
        </w:rPr>
        <w:fldChar w:fldCharType="begin"/>
      </w:r>
      <w:r>
        <w:rPr>
          <w:rFonts w:hint="default" w:ascii="Calibri" w:hAnsi="Calibri"/>
          <w:color w:val="000000"/>
          <w:sz w:val="14"/>
          <w:szCs w:val="14"/>
        </w:rPr>
        <w:instrText xml:space="preserve"> HYPERLINK "https://credenciamento.novobbmnet.com.br/auth/login" </w:instrText>
      </w:r>
      <w:r>
        <w:rPr>
          <w:rFonts w:hint="default" w:ascii="Calibri" w:hAnsi="Calibri"/>
          <w:color w:val="000000"/>
          <w:sz w:val="14"/>
          <w:szCs w:val="14"/>
        </w:rPr>
        <w:fldChar w:fldCharType="separate"/>
      </w:r>
      <w:r>
        <w:rPr>
          <w:rStyle w:val="13"/>
          <w:rFonts w:hint="default" w:ascii="Calibri" w:hAnsi="Calibri"/>
          <w:color w:val="000000"/>
          <w:sz w:val="14"/>
          <w:szCs w:val="14"/>
        </w:rPr>
        <w:t>https://credenciamento.novobbmnet.com.br/auth/login</w:t>
      </w:r>
      <w:r>
        <w:rPr>
          <w:rFonts w:hint="default" w:ascii="Calibri" w:hAnsi="Calibri"/>
          <w:color w:val="000000"/>
          <w:sz w:val="14"/>
          <w:szCs w:val="14"/>
        </w:rPr>
        <w:fldChar w:fldCharType="end"/>
      </w:r>
    </w:p>
    <w:p w14:paraId="12E3F367">
      <w:pPr>
        <w:jc w:val="both"/>
        <w:rPr>
          <w:rFonts w:hint="default" w:ascii="Calibri" w:hAnsi="Calibri" w:cs="Calibri"/>
          <w:sz w:val="14"/>
          <w:szCs w:val="14"/>
        </w:rPr>
      </w:pPr>
    </w:p>
    <w:p w14:paraId="5CD142AA">
      <w:pPr>
        <w:jc w:val="both"/>
        <w:rPr>
          <w:rFonts w:hint="default" w:ascii="Calibri" w:hAnsi="Calibri" w:cs="Calibri"/>
          <w:b/>
          <w:sz w:val="14"/>
          <w:szCs w:val="14"/>
        </w:rPr>
      </w:pPr>
      <w:r>
        <w:rPr>
          <w:rFonts w:hint="default" w:ascii="Calibri" w:hAnsi="Calibri" w:cs="Calibri"/>
          <w:b/>
          <w:sz w:val="14"/>
          <w:szCs w:val="14"/>
        </w:rPr>
        <w:t>ADESÃO</w:t>
      </w:r>
    </w:p>
    <w:p w14:paraId="74C1C341">
      <w:pPr>
        <w:jc w:val="center"/>
        <w:rPr>
          <w:rFonts w:hint="default" w:ascii="Calibri" w:hAnsi="Calibri" w:cs="Calibri"/>
          <w:b/>
          <w:sz w:val="14"/>
          <w:szCs w:val="14"/>
        </w:rPr>
      </w:pPr>
    </w:p>
    <w:p w14:paraId="6C9DB5CD">
      <w:pPr>
        <w:rPr>
          <w:rFonts w:hint="default" w:ascii="Calibri" w:hAnsi="Calibri" w:cs="Calibri"/>
          <w:sz w:val="14"/>
          <w:szCs w:val="14"/>
        </w:rPr>
      </w:pPr>
      <w:r>
        <w:rPr>
          <w:rFonts w:hint="default" w:ascii="Calibri" w:hAnsi="Calibri" w:cs="Calibri"/>
          <w:sz w:val="14"/>
          <w:szCs w:val="14"/>
        </w:rPr>
        <w:t>Para se credenciar, o licitante deverá enviar à BBM os seguintes documentos:</w:t>
      </w:r>
    </w:p>
    <w:p w14:paraId="5327739D">
      <w:pPr>
        <w:numPr>
          <w:ilvl w:val="0"/>
          <w:numId w:val="16"/>
        </w:numPr>
        <w:rPr>
          <w:rFonts w:hint="default" w:ascii="Calibri" w:hAnsi="Calibri" w:cs="Calibri"/>
          <w:sz w:val="14"/>
          <w:szCs w:val="14"/>
        </w:rPr>
      </w:pPr>
      <w:r>
        <w:rPr>
          <w:rFonts w:hint="default" w:ascii="Calibri" w:hAnsi="Calibri" w:cs="Calibri"/>
          <w:sz w:val="14"/>
          <w:szCs w:val="14"/>
        </w:rPr>
        <w:t>Cópia autenticada do Contrato Social ou Estatuto Social e última alteração;</w:t>
      </w:r>
    </w:p>
    <w:p w14:paraId="6D1F41BC">
      <w:pPr>
        <w:numPr>
          <w:ilvl w:val="0"/>
          <w:numId w:val="16"/>
        </w:numPr>
        <w:rPr>
          <w:rFonts w:hint="default" w:ascii="Calibri" w:hAnsi="Calibri" w:cs="Calibri"/>
          <w:sz w:val="14"/>
          <w:szCs w:val="14"/>
        </w:rPr>
      </w:pPr>
      <w:r>
        <w:rPr>
          <w:rFonts w:hint="default" w:ascii="Calibri" w:hAnsi="Calibri" w:cs="Calibri"/>
          <w:sz w:val="14"/>
          <w:szCs w:val="14"/>
        </w:rPr>
        <w:t>Cópia autenticada da ata de eleição dos atuais Administradores da Sociedade (Conselho e Diretoria);</w:t>
      </w:r>
    </w:p>
    <w:p w14:paraId="530E23E3">
      <w:pPr>
        <w:numPr>
          <w:ilvl w:val="0"/>
          <w:numId w:val="16"/>
        </w:numPr>
        <w:ind w:left="0" w:firstLine="360"/>
        <w:rPr>
          <w:rFonts w:hint="default" w:ascii="Calibri" w:hAnsi="Calibri" w:cs="Calibri"/>
          <w:sz w:val="14"/>
          <w:szCs w:val="14"/>
        </w:rPr>
      </w:pPr>
      <w:r>
        <w:rPr>
          <w:rFonts w:hint="default" w:ascii="Calibri" w:hAnsi="Calibri" w:cs="Calibri"/>
          <w:sz w:val="14"/>
          <w:szCs w:val="14"/>
        </w:rPr>
        <w:t>Cópia autenticada dos documentos pessoais (RG e CPF) dos Administradores da Sociedade, do Procurador, quando for o caso, e do responsável pela utilização da senha de acesso ao sistema quando este não for o Administrador da Sociedade;</w:t>
      </w:r>
    </w:p>
    <w:p w14:paraId="3FD8A363">
      <w:pPr>
        <w:numPr>
          <w:ilvl w:val="0"/>
          <w:numId w:val="16"/>
        </w:numPr>
        <w:ind w:left="0" w:firstLine="360"/>
        <w:rPr>
          <w:rFonts w:hint="default" w:ascii="Calibri" w:hAnsi="Calibri" w:cs="Calibri"/>
          <w:sz w:val="14"/>
          <w:szCs w:val="14"/>
        </w:rPr>
      </w:pPr>
      <w:r>
        <w:rPr>
          <w:rFonts w:hint="default" w:ascii="Calibri" w:hAnsi="Calibri" w:cs="Calibri"/>
          <w:sz w:val="14"/>
          <w:szCs w:val="14"/>
        </w:rPr>
        <w:t>Procuração, com firma reconhecida, outorgando poderes para o signatário do Termo de Adesão no caso este não seja o Administrador da Sociedade;</w:t>
      </w:r>
    </w:p>
    <w:p w14:paraId="76A0B846">
      <w:pPr>
        <w:numPr>
          <w:ilvl w:val="0"/>
          <w:numId w:val="16"/>
        </w:numPr>
        <w:rPr>
          <w:rFonts w:hint="default" w:ascii="Calibri" w:hAnsi="Calibri" w:cs="Calibri"/>
          <w:sz w:val="14"/>
          <w:szCs w:val="14"/>
        </w:rPr>
      </w:pPr>
      <w:r>
        <w:rPr>
          <w:rFonts w:hint="default" w:ascii="Calibri" w:hAnsi="Calibri" w:cs="Calibri"/>
          <w:sz w:val="14"/>
          <w:szCs w:val="14"/>
        </w:rPr>
        <w:t>Termo de Adesão (imprimir, assinar e reconhecer firma em cartório);</w:t>
      </w:r>
    </w:p>
    <w:p w14:paraId="5EF03ABD">
      <w:pPr>
        <w:numPr>
          <w:ilvl w:val="0"/>
          <w:numId w:val="16"/>
        </w:numPr>
        <w:rPr>
          <w:rFonts w:hint="default" w:ascii="Calibri" w:hAnsi="Calibri" w:cs="Calibri"/>
          <w:sz w:val="14"/>
          <w:szCs w:val="14"/>
        </w:rPr>
      </w:pPr>
      <w:r>
        <w:rPr>
          <w:rFonts w:hint="default" w:ascii="Calibri" w:hAnsi="Calibri" w:cs="Calibri"/>
          <w:sz w:val="14"/>
          <w:szCs w:val="14"/>
        </w:rPr>
        <w:t xml:space="preserve">Preencha o Formulário de Credenciamento e o Termo de Adesão </w:t>
      </w:r>
    </w:p>
    <w:p w14:paraId="5260A1D5">
      <w:pPr>
        <w:numPr>
          <w:ilvl w:val="0"/>
          <w:numId w:val="16"/>
        </w:numPr>
        <w:rPr>
          <w:rFonts w:hint="default" w:ascii="Calibri" w:hAnsi="Calibri" w:cs="Calibri"/>
          <w:sz w:val="14"/>
          <w:szCs w:val="14"/>
        </w:rPr>
      </w:pPr>
      <w:r>
        <w:rPr>
          <w:rFonts w:hint="default" w:ascii="Calibri" w:hAnsi="Calibri" w:cs="Calibri"/>
          <w:sz w:val="14"/>
          <w:szCs w:val="14"/>
          <w:shd w:val="clear" w:color="auto" w:fill="FFFFFF"/>
        </w:rPr>
        <w:t>Cópia do comprovante (ressarcimento de custos). </w:t>
      </w:r>
    </w:p>
    <w:p w14:paraId="3AC720CC">
      <w:pPr>
        <w:jc w:val="both"/>
        <w:rPr>
          <w:rFonts w:hint="default" w:ascii="Calibri" w:hAnsi="Calibri" w:cs="Calibri"/>
          <w:sz w:val="14"/>
          <w:szCs w:val="14"/>
        </w:rPr>
      </w:pPr>
    </w:p>
    <w:p w14:paraId="5F2A0CD8">
      <w:pPr>
        <w:jc w:val="both"/>
        <w:rPr>
          <w:rFonts w:hint="default" w:ascii="Calibri" w:hAnsi="Calibri" w:cs="Calibri"/>
          <w:b/>
          <w:sz w:val="14"/>
          <w:szCs w:val="14"/>
        </w:rPr>
      </w:pPr>
      <w:r>
        <w:rPr>
          <w:rFonts w:hint="default" w:ascii="Calibri" w:hAnsi="Calibri" w:cs="Calibri"/>
          <w:b/>
          <w:sz w:val="14"/>
          <w:szCs w:val="14"/>
        </w:rPr>
        <w:t>TAXAS DE UTILIZAÇÃO DO SISTEMA (</w:t>
      </w:r>
      <w:r>
        <w:rPr>
          <w:rFonts w:hint="default" w:ascii="Calibri" w:hAnsi="Calibri"/>
          <w:b/>
          <w:sz w:val="14"/>
          <w:szCs w:val="14"/>
        </w:rPr>
        <w:fldChar w:fldCharType="begin"/>
      </w:r>
      <w:r>
        <w:rPr>
          <w:rFonts w:hint="default" w:ascii="Calibri" w:hAnsi="Calibri"/>
          <w:b/>
          <w:sz w:val="14"/>
          <w:szCs w:val="14"/>
        </w:rPr>
        <w:instrText xml:space="preserve"> HYPERLINK "https://novobbmnet.com.br/informacoes-sobre-os-custos-da-utilizacao-do-bbmnet-licitacoes/" </w:instrText>
      </w:r>
      <w:r>
        <w:rPr>
          <w:rFonts w:hint="default" w:ascii="Calibri" w:hAnsi="Calibri"/>
          <w:b/>
          <w:sz w:val="14"/>
          <w:szCs w:val="14"/>
        </w:rPr>
        <w:fldChar w:fldCharType="separate"/>
      </w:r>
      <w:r>
        <w:rPr>
          <w:rStyle w:val="13"/>
          <w:rFonts w:hint="default" w:ascii="Calibri" w:hAnsi="Calibri"/>
          <w:b/>
          <w:sz w:val="14"/>
          <w:szCs w:val="14"/>
        </w:rPr>
        <w:t>https://novobbmnet.com.br/informacoes-sobre-os-custos-da-utilizacao-do-bbmnet-licitacoes/</w:t>
      </w:r>
      <w:r>
        <w:rPr>
          <w:rFonts w:hint="default" w:ascii="Calibri" w:hAnsi="Calibri"/>
          <w:b/>
          <w:sz w:val="14"/>
          <w:szCs w:val="14"/>
        </w:rPr>
        <w:fldChar w:fldCharType="end"/>
      </w:r>
      <w:r>
        <w:rPr>
          <w:rFonts w:hint="default" w:ascii="Calibri" w:hAnsi="Calibri" w:cs="Calibri"/>
          <w:b/>
          <w:sz w:val="14"/>
          <w:szCs w:val="14"/>
        </w:rPr>
        <w:t xml:space="preserve">) </w:t>
      </w:r>
    </w:p>
    <w:p w14:paraId="0CED030C">
      <w:pPr>
        <w:jc w:val="center"/>
        <w:rPr>
          <w:rFonts w:hint="default" w:ascii="Calibri" w:hAnsi="Calibri" w:cs="Calibri"/>
          <w:b/>
          <w:sz w:val="14"/>
          <w:szCs w:val="14"/>
        </w:rPr>
      </w:pPr>
    </w:p>
    <w:p w14:paraId="6C7A27CE">
      <w:pPr>
        <w:spacing w:before="300" w:after="300" w:line="276" w:lineRule="auto"/>
        <w:ind w:firstLine="450"/>
        <w:jc w:val="both"/>
        <w:rPr>
          <w:rFonts w:hint="default" w:ascii="Calibri" w:hAnsi="Calibri" w:eastAsia="Times New Roman" w:cs="Calibri"/>
          <w:color w:val="000000"/>
          <w:sz w:val="14"/>
          <w:szCs w:val="14"/>
        </w:rPr>
      </w:pPr>
      <w:r>
        <w:rPr>
          <w:rFonts w:hint="default" w:ascii="Calibri" w:hAnsi="Calibri" w:eastAsia="SimSun" w:cs="Calibri"/>
          <w:sz w:val="14"/>
          <w:szCs w:val="14"/>
        </w:rPr>
        <w:t xml:space="preserve">Os licitantes que desejarem participar de licitações promovidas por órgãos públicos pagam uma taxa </w:t>
      </w:r>
      <w:r>
        <w:rPr>
          <w:rFonts w:hint="default" w:ascii="Calibri" w:hAnsi="Calibri" w:eastAsia="Times New Roman" w:cs="Calibri"/>
          <w:color w:val="000000"/>
          <w:sz w:val="14"/>
          <w:szCs w:val="14"/>
        </w:rPr>
        <w:t xml:space="preserve">de Utilização que varia de acordo com o Período de Utilização escolhido pelo licitante:  </w:t>
      </w:r>
      <w:r>
        <w:rPr>
          <w:rFonts w:hint="default" w:ascii="Calibri" w:hAnsi="Calibri" w:eastAsia="Times New Roman" w:cs="Calibri"/>
          <w:b/>
          <w:bCs/>
          <w:color w:val="000000"/>
          <w:sz w:val="14"/>
          <w:szCs w:val="14"/>
        </w:rPr>
        <w:t>R$ 1</w:t>
      </w:r>
      <w:r>
        <w:rPr>
          <w:rFonts w:hint="default" w:ascii="Calibri" w:hAnsi="Calibri" w:eastAsia="Times New Roman" w:cs="Calibri"/>
          <w:b/>
          <w:bCs/>
          <w:color w:val="000000"/>
          <w:sz w:val="14"/>
          <w:szCs w:val="14"/>
          <w:lang w:val="pt-BR"/>
        </w:rPr>
        <w:t>87</w:t>
      </w:r>
      <w:r>
        <w:rPr>
          <w:rFonts w:hint="default" w:ascii="Calibri" w:hAnsi="Calibri" w:eastAsia="Times New Roman" w:cs="Calibri"/>
          <w:b/>
          <w:bCs/>
          <w:color w:val="000000"/>
          <w:sz w:val="14"/>
          <w:szCs w:val="14"/>
        </w:rPr>
        <w:t>,00</w:t>
      </w:r>
      <w:r>
        <w:rPr>
          <w:rFonts w:hint="default" w:ascii="Calibri" w:hAnsi="Calibri" w:eastAsia="Times New Roman" w:cs="Calibri"/>
          <w:color w:val="000000"/>
          <w:sz w:val="14"/>
          <w:szCs w:val="14"/>
        </w:rPr>
        <w:t xml:space="preserve"> por até 01 (um) mês / </w:t>
      </w:r>
      <w:r>
        <w:rPr>
          <w:rFonts w:hint="default" w:ascii="Calibri" w:hAnsi="Calibri" w:eastAsia="Times New Roman" w:cs="Calibri"/>
          <w:b/>
          <w:bCs/>
          <w:color w:val="000000"/>
          <w:sz w:val="14"/>
          <w:szCs w:val="14"/>
        </w:rPr>
        <w:t>R$ 2</w:t>
      </w:r>
      <w:r>
        <w:rPr>
          <w:rFonts w:hint="default" w:ascii="Calibri" w:hAnsi="Calibri" w:eastAsia="Times New Roman" w:cs="Calibri"/>
          <w:b/>
          <w:bCs/>
          <w:color w:val="000000"/>
          <w:sz w:val="14"/>
          <w:szCs w:val="14"/>
          <w:lang w:val="pt-BR"/>
        </w:rPr>
        <w:t>30</w:t>
      </w:r>
      <w:r>
        <w:rPr>
          <w:rFonts w:hint="default" w:ascii="Calibri" w:hAnsi="Calibri" w:eastAsia="Times New Roman" w:cs="Calibri"/>
          <w:b/>
          <w:bCs/>
          <w:color w:val="000000"/>
          <w:sz w:val="14"/>
          <w:szCs w:val="14"/>
        </w:rPr>
        <w:t>,00</w:t>
      </w:r>
      <w:r>
        <w:rPr>
          <w:rFonts w:hint="default" w:ascii="Calibri" w:hAnsi="Calibri" w:eastAsia="Times New Roman" w:cs="Calibri"/>
          <w:color w:val="000000"/>
          <w:sz w:val="14"/>
          <w:szCs w:val="14"/>
        </w:rPr>
        <w:t> por até 02 (dois) meses /</w:t>
      </w:r>
      <w:r>
        <w:rPr>
          <w:rFonts w:hint="default" w:ascii="Calibri" w:hAnsi="Calibri" w:eastAsia="Times New Roman" w:cs="Calibri"/>
          <w:b/>
          <w:bCs/>
          <w:color w:val="000000"/>
          <w:sz w:val="14"/>
          <w:szCs w:val="14"/>
        </w:rPr>
        <w:t>R$ 2</w:t>
      </w:r>
      <w:r>
        <w:rPr>
          <w:rFonts w:hint="default" w:ascii="Calibri" w:hAnsi="Calibri" w:eastAsia="Times New Roman" w:cs="Calibri"/>
          <w:b/>
          <w:bCs/>
          <w:color w:val="000000"/>
          <w:sz w:val="14"/>
          <w:szCs w:val="14"/>
          <w:lang w:val="pt-BR"/>
        </w:rPr>
        <w:t>75</w:t>
      </w:r>
      <w:r>
        <w:rPr>
          <w:rFonts w:hint="default" w:ascii="Calibri" w:hAnsi="Calibri" w:eastAsia="Times New Roman" w:cs="Calibri"/>
          <w:b/>
          <w:bCs/>
          <w:color w:val="000000"/>
          <w:sz w:val="14"/>
          <w:szCs w:val="14"/>
        </w:rPr>
        <w:t>,00</w:t>
      </w:r>
      <w:r>
        <w:rPr>
          <w:rFonts w:hint="default" w:ascii="Calibri" w:hAnsi="Calibri" w:eastAsia="Times New Roman" w:cs="Calibri"/>
          <w:color w:val="000000"/>
          <w:sz w:val="14"/>
          <w:szCs w:val="14"/>
        </w:rPr>
        <w:t xml:space="preserve"> por até 03 (três) meses / </w:t>
      </w:r>
      <w:r>
        <w:rPr>
          <w:rFonts w:hint="default" w:ascii="Calibri" w:hAnsi="Calibri" w:eastAsia="Times New Roman" w:cs="Calibri"/>
          <w:b/>
          <w:bCs/>
          <w:color w:val="000000"/>
          <w:sz w:val="14"/>
          <w:szCs w:val="14"/>
        </w:rPr>
        <w:t xml:space="preserve">R$ </w:t>
      </w:r>
      <w:r>
        <w:rPr>
          <w:rFonts w:hint="default" w:ascii="Calibri" w:hAnsi="Calibri" w:eastAsia="Times New Roman" w:cs="Calibri"/>
          <w:b/>
          <w:bCs/>
          <w:color w:val="000000"/>
          <w:sz w:val="14"/>
          <w:szCs w:val="14"/>
          <w:lang w:val="pt-BR"/>
        </w:rPr>
        <w:t>320</w:t>
      </w:r>
      <w:r>
        <w:rPr>
          <w:rFonts w:hint="default" w:ascii="Calibri" w:hAnsi="Calibri" w:eastAsia="Times New Roman" w:cs="Calibri"/>
          <w:b/>
          <w:bCs/>
          <w:color w:val="000000"/>
          <w:sz w:val="14"/>
          <w:szCs w:val="14"/>
        </w:rPr>
        <w:t>,00</w:t>
      </w:r>
      <w:r>
        <w:rPr>
          <w:rFonts w:hint="default" w:ascii="Calibri" w:hAnsi="Calibri" w:eastAsia="Times New Roman" w:cs="Calibri"/>
          <w:color w:val="000000"/>
          <w:sz w:val="14"/>
          <w:szCs w:val="14"/>
        </w:rPr>
        <w:t xml:space="preserve"> por até 04 (quatro) meses  / </w:t>
      </w:r>
      <w:r>
        <w:rPr>
          <w:rFonts w:hint="default" w:ascii="Calibri" w:hAnsi="Calibri" w:eastAsia="Times New Roman" w:cs="Calibri"/>
          <w:b/>
          <w:bCs/>
          <w:color w:val="000000"/>
          <w:sz w:val="14"/>
          <w:szCs w:val="14"/>
        </w:rPr>
        <w:t>R$ 3</w:t>
      </w:r>
      <w:r>
        <w:rPr>
          <w:rFonts w:hint="default" w:ascii="Calibri" w:hAnsi="Calibri" w:eastAsia="Times New Roman" w:cs="Calibri"/>
          <w:b/>
          <w:bCs/>
          <w:color w:val="000000"/>
          <w:sz w:val="14"/>
          <w:szCs w:val="14"/>
          <w:lang w:val="pt-BR"/>
        </w:rPr>
        <w:t>65</w:t>
      </w:r>
      <w:r>
        <w:rPr>
          <w:rFonts w:hint="default" w:ascii="Calibri" w:hAnsi="Calibri" w:eastAsia="Times New Roman" w:cs="Calibri"/>
          <w:b/>
          <w:bCs/>
          <w:color w:val="000000"/>
          <w:sz w:val="14"/>
          <w:szCs w:val="14"/>
        </w:rPr>
        <w:t>,00</w:t>
      </w:r>
      <w:r>
        <w:rPr>
          <w:rFonts w:hint="default" w:ascii="Calibri" w:hAnsi="Calibri" w:eastAsia="Times New Roman" w:cs="Calibri"/>
          <w:color w:val="000000"/>
          <w:sz w:val="14"/>
          <w:szCs w:val="14"/>
        </w:rPr>
        <w:t xml:space="preserve"> por até 05 (cinco) meses / </w:t>
      </w:r>
      <w:r>
        <w:rPr>
          <w:rFonts w:hint="default" w:ascii="Calibri" w:hAnsi="Calibri" w:eastAsia="Times New Roman" w:cs="Calibri"/>
          <w:b/>
          <w:bCs/>
          <w:color w:val="000000"/>
          <w:sz w:val="14"/>
          <w:szCs w:val="14"/>
        </w:rPr>
        <w:t>R$</w:t>
      </w:r>
      <w:r>
        <w:rPr>
          <w:rFonts w:hint="default" w:ascii="Calibri" w:hAnsi="Calibri" w:eastAsia="Times New Roman" w:cs="Calibri"/>
          <w:b/>
          <w:bCs/>
          <w:color w:val="000000"/>
          <w:sz w:val="14"/>
          <w:szCs w:val="14"/>
          <w:lang w:val="pt-BR"/>
        </w:rPr>
        <w:t>408</w:t>
      </w:r>
      <w:r>
        <w:rPr>
          <w:rFonts w:hint="default" w:ascii="Calibri" w:hAnsi="Calibri" w:eastAsia="Times New Roman" w:cs="Calibri"/>
          <w:b/>
          <w:bCs/>
          <w:color w:val="000000"/>
          <w:sz w:val="14"/>
          <w:szCs w:val="14"/>
        </w:rPr>
        <w:t>,00</w:t>
      </w:r>
      <w:r>
        <w:rPr>
          <w:rFonts w:hint="default" w:ascii="Calibri" w:hAnsi="Calibri" w:eastAsia="Times New Roman" w:cs="Calibri"/>
          <w:color w:val="000000"/>
          <w:sz w:val="14"/>
          <w:szCs w:val="14"/>
        </w:rPr>
        <w:t xml:space="preserve"> por até 06 (seis) meses  / </w:t>
      </w:r>
      <w:r>
        <w:rPr>
          <w:rFonts w:hint="default" w:ascii="Calibri" w:hAnsi="Calibri" w:eastAsia="Times New Roman" w:cs="Calibri"/>
          <w:b/>
          <w:bCs/>
          <w:color w:val="000000"/>
          <w:sz w:val="14"/>
          <w:szCs w:val="14"/>
        </w:rPr>
        <w:t>R$ 4</w:t>
      </w:r>
      <w:r>
        <w:rPr>
          <w:rFonts w:hint="default" w:ascii="Calibri" w:hAnsi="Calibri" w:eastAsia="Times New Roman" w:cs="Calibri"/>
          <w:b/>
          <w:bCs/>
          <w:color w:val="000000"/>
          <w:sz w:val="14"/>
          <w:szCs w:val="14"/>
          <w:lang w:val="pt-BR"/>
        </w:rPr>
        <w:t>54</w:t>
      </w:r>
      <w:r>
        <w:rPr>
          <w:rFonts w:hint="default" w:ascii="Calibri" w:hAnsi="Calibri" w:eastAsia="Times New Roman" w:cs="Calibri"/>
          <w:b/>
          <w:bCs/>
          <w:color w:val="000000"/>
          <w:sz w:val="14"/>
          <w:szCs w:val="14"/>
        </w:rPr>
        <w:t>,00</w:t>
      </w:r>
      <w:r>
        <w:rPr>
          <w:rFonts w:hint="default" w:ascii="Calibri" w:hAnsi="Calibri" w:eastAsia="Times New Roman" w:cs="Calibri"/>
          <w:color w:val="000000"/>
          <w:sz w:val="14"/>
          <w:szCs w:val="14"/>
        </w:rPr>
        <w:t xml:space="preserve"> por até 07 (sete) meses / </w:t>
      </w:r>
      <w:r>
        <w:rPr>
          <w:rFonts w:hint="default" w:ascii="Calibri" w:hAnsi="Calibri" w:eastAsia="Times New Roman" w:cs="Calibri"/>
          <w:b/>
          <w:bCs/>
          <w:color w:val="000000"/>
          <w:sz w:val="14"/>
          <w:szCs w:val="14"/>
        </w:rPr>
        <w:t>R$ 4</w:t>
      </w:r>
      <w:r>
        <w:rPr>
          <w:rFonts w:hint="default" w:ascii="Calibri" w:hAnsi="Calibri" w:eastAsia="Times New Roman" w:cs="Calibri"/>
          <w:b/>
          <w:bCs/>
          <w:color w:val="000000"/>
          <w:sz w:val="14"/>
          <w:szCs w:val="14"/>
          <w:lang w:val="pt-BR"/>
        </w:rPr>
        <w:t>98</w:t>
      </w:r>
      <w:r>
        <w:rPr>
          <w:rFonts w:hint="default" w:ascii="Calibri" w:hAnsi="Calibri" w:eastAsia="Times New Roman" w:cs="Calibri"/>
          <w:b/>
          <w:bCs/>
          <w:color w:val="000000"/>
          <w:sz w:val="14"/>
          <w:szCs w:val="14"/>
        </w:rPr>
        <w:t>,00</w:t>
      </w:r>
      <w:r>
        <w:rPr>
          <w:rFonts w:hint="default" w:ascii="Calibri" w:hAnsi="Calibri" w:eastAsia="Times New Roman" w:cs="Calibri"/>
          <w:color w:val="000000"/>
          <w:sz w:val="14"/>
          <w:szCs w:val="14"/>
        </w:rPr>
        <w:t xml:space="preserve"> por até 08 (oito) meses / </w:t>
      </w:r>
      <w:r>
        <w:rPr>
          <w:rFonts w:hint="default" w:ascii="Calibri" w:hAnsi="Calibri" w:eastAsia="Times New Roman" w:cs="Calibri"/>
          <w:b/>
          <w:bCs/>
          <w:color w:val="000000"/>
          <w:sz w:val="14"/>
          <w:szCs w:val="14"/>
        </w:rPr>
        <w:t>R$ 5</w:t>
      </w:r>
      <w:r>
        <w:rPr>
          <w:rFonts w:hint="default" w:ascii="Calibri" w:hAnsi="Calibri" w:eastAsia="Times New Roman" w:cs="Calibri"/>
          <w:b/>
          <w:bCs/>
          <w:color w:val="000000"/>
          <w:sz w:val="14"/>
          <w:szCs w:val="14"/>
          <w:lang w:val="pt-BR"/>
        </w:rPr>
        <w:t>41</w:t>
      </w:r>
      <w:r>
        <w:rPr>
          <w:rFonts w:hint="default" w:ascii="Calibri" w:hAnsi="Calibri" w:eastAsia="Times New Roman" w:cs="Calibri"/>
          <w:b/>
          <w:bCs/>
          <w:color w:val="000000"/>
          <w:sz w:val="14"/>
          <w:szCs w:val="14"/>
        </w:rPr>
        <w:t>,00</w:t>
      </w:r>
      <w:r>
        <w:rPr>
          <w:rFonts w:hint="default" w:ascii="Calibri" w:hAnsi="Calibri" w:eastAsia="Times New Roman" w:cs="Calibri"/>
          <w:color w:val="000000"/>
          <w:sz w:val="14"/>
          <w:szCs w:val="14"/>
        </w:rPr>
        <w:t xml:space="preserve"> por até 09 (nove) meses  / </w:t>
      </w:r>
      <w:r>
        <w:rPr>
          <w:rFonts w:hint="default" w:ascii="Calibri" w:hAnsi="Calibri" w:eastAsia="Times New Roman" w:cs="Calibri"/>
          <w:b/>
          <w:bCs/>
          <w:color w:val="000000"/>
          <w:sz w:val="14"/>
          <w:szCs w:val="14"/>
        </w:rPr>
        <w:t>R$ 5</w:t>
      </w:r>
      <w:r>
        <w:rPr>
          <w:rFonts w:hint="default" w:ascii="Calibri" w:hAnsi="Calibri" w:eastAsia="Times New Roman" w:cs="Calibri"/>
          <w:b/>
          <w:bCs/>
          <w:color w:val="000000"/>
          <w:sz w:val="14"/>
          <w:szCs w:val="14"/>
          <w:lang w:val="pt-BR"/>
        </w:rPr>
        <w:t>86</w:t>
      </w:r>
      <w:r>
        <w:rPr>
          <w:rFonts w:hint="default" w:ascii="Calibri" w:hAnsi="Calibri" w:eastAsia="Times New Roman" w:cs="Calibri"/>
          <w:b/>
          <w:bCs/>
          <w:color w:val="000000"/>
          <w:sz w:val="14"/>
          <w:szCs w:val="14"/>
        </w:rPr>
        <w:t>,00</w:t>
      </w:r>
      <w:r>
        <w:rPr>
          <w:rFonts w:hint="default" w:ascii="Calibri" w:hAnsi="Calibri" w:eastAsia="Times New Roman" w:cs="Calibri"/>
          <w:color w:val="000000"/>
          <w:sz w:val="14"/>
          <w:szCs w:val="14"/>
        </w:rPr>
        <w:t xml:space="preserve"> por até 10 (dez) meses  / </w:t>
      </w:r>
      <w:r>
        <w:rPr>
          <w:rFonts w:hint="default" w:ascii="Calibri" w:hAnsi="Calibri" w:eastAsia="Times New Roman" w:cs="Calibri"/>
          <w:b/>
          <w:bCs/>
          <w:color w:val="000000"/>
          <w:sz w:val="14"/>
          <w:szCs w:val="14"/>
        </w:rPr>
        <w:t xml:space="preserve">R$ </w:t>
      </w:r>
      <w:r>
        <w:rPr>
          <w:rFonts w:hint="default" w:ascii="Calibri" w:hAnsi="Calibri" w:eastAsia="Times New Roman" w:cs="Calibri"/>
          <w:b/>
          <w:bCs/>
          <w:color w:val="000000"/>
          <w:sz w:val="14"/>
          <w:szCs w:val="14"/>
          <w:lang w:val="pt-BR"/>
        </w:rPr>
        <w:t>632,00</w:t>
      </w:r>
      <w:r>
        <w:rPr>
          <w:rFonts w:hint="default" w:ascii="Calibri" w:hAnsi="Calibri" w:eastAsia="Times New Roman" w:cs="Calibri"/>
          <w:color w:val="000000"/>
          <w:sz w:val="14"/>
          <w:szCs w:val="14"/>
        </w:rPr>
        <w:t xml:space="preserve"> por até 11 (onze) meses / </w:t>
      </w:r>
      <w:r>
        <w:rPr>
          <w:rFonts w:hint="default" w:ascii="Calibri" w:hAnsi="Calibri" w:eastAsia="Times New Roman" w:cs="Calibri"/>
          <w:b/>
          <w:bCs/>
          <w:color w:val="000000"/>
          <w:sz w:val="14"/>
          <w:szCs w:val="14"/>
        </w:rPr>
        <w:t>R$ 6</w:t>
      </w:r>
      <w:r>
        <w:rPr>
          <w:rFonts w:hint="default" w:ascii="Calibri" w:hAnsi="Calibri" w:eastAsia="Times New Roman" w:cs="Calibri"/>
          <w:b/>
          <w:bCs/>
          <w:color w:val="000000"/>
          <w:sz w:val="14"/>
          <w:szCs w:val="14"/>
          <w:lang w:val="pt-BR"/>
        </w:rPr>
        <w:t>77</w:t>
      </w:r>
      <w:r>
        <w:rPr>
          <w:rFonts w:hint="default" w:ascii="Calibri" w:hAnsi="Calibri" w:eastAsia="Times New Roman" w:cs="Calibri"/>
          <w:b/>
          <w:bCs/>
          <w:color w:val="000000"/>
          <w:sz w:val="14"/>
          <w:szCs w:val="14"/>
        </w:rPr>
        <w:t>,00</w:t>
      </w:r>
      <w:r>
        <w:rPr>
          <w:rFonts w:hint="default" w:ascii="Calibri" w:hAnsi="Calibri" w:eastAsia="Times New Roman" w:cs="Calibri"/>
          <w:color w:val="000000"/>
          <w:sz w:val="14"/>
          <w:szCs w:val="14"/>
        </w:rPr>
        <w:t> por até 12 (doze) meses. </w:t>
      </w:r>
    </w:p>
    <w:p w14:paraId="1AC5DC74">
      <w:pPr>
        <w:ind w:firstLine="708"/>
        <w:jc w:val="both"/>
        <w:rPr>
          <w:rFonts w:hint="default" w:ascii="Calibri" w:hAnsi="Calibri" w:cs="Calibri"/>
          <w:sz w:val="14"/>
          <w:szCs w:val="14"/>
        </w:rPr>
      </w:pPr>
      <w:r>
        <w:rPr>
          <w:rFonts w:hint="default" w:ascii="Calibri" w:hAnsi="Calibri" w:cs="Calibri"/>
          <w:sz w:val="14"/>
          <w:szCs w:val="14"/>
        </w:rPr>
        <w:t>A taxa é cobrada conforme estabelece o Artigo 5º, III da lei 10.520/2002 para cobrir os custos empregados na tecnologia da informação nas licitações públicas.</w:t>
      </w:r>
    </w:p>
    <w:p w14:paraId="422C4651">
      <w:pPr>
        <w:ind w:firstLine="708"/>
        <w:jc w:val="both"/>
        <w:rPr>
          <w:rFonts w:hint="default" w:ascii="Calibri" w:hAnsi="Calibri" w:cs="Calibri"/>
          <w:sz w:val="14"/>
          <w:szCs w:val="14"/>
        </w:rPr>
      </w:pPr>
    </w:p>
    <w:p w14:paraId="6DA971F6">
      <w:pPr>
        <w:ind w:firstLine="708"/>
        <w:jc w:val="both"/>
        <w:rPr>
          <w:rFonts w:hint="default" w:ascii="Calibri" w:hAnsi="Calibri" w:cs="Calibri"/>
          <w:sz w:val="14"/>
          <w:szCs w:val="14"/>
        </w:rPr>
      </w:pPr>
    </w:p>
    <w:p w14:paraId="45DED8A0">
      <w:pPr>
        <w:jc w:val="both"/>
        <w:rPr>
          <w:rFonts w:hint="default" w:ascii="Calibri" w:hAnsi="Calibri" w:cs="Calibri"/>
          <w:b/>
          <w:sz w:val="14"/>
          <w:szCs w:val="14"/>
        </w:rPr>
      </w:pPr>
      <w:r>
        <w:rPr>
          <w:rFonts w:hint="default" w:ascii="Calibri" w:hAnsi="Calibri" w:cs="Calibri"/>
          <w:b/>
          <w:sz w:val="14"/>
          <w:szCs w:val="14"/>
        </w:rPr>
        <w:t>UNIDADES REGIONAIS DA BOLSA BRASILEIRA DE MERCADORIAS</w:t>
      </w:r>
    </w:p>
    <w:p w14:paraId="1751AF67">
      <w:pPr>
        <w:jc w:val="both"/>
        <w:rPr>
          <w:rFonts w:hint="default" w:ascii="Calibri" w:hAnsi="Calibri" w:cs="Calibri"/>
          <w:sz w:val="21"/>
          <w:szCs w:val="21"/>
        </w:rPr>
      </w:pPr>
      <w:r>
        <w:drawing>
          <wp:anchor distT="0" distB="0" distL="114300" distR="114300" simplePos="0" relativeHeight="251675648" behindDoc="1" locked="0" layoutInCell="1" allowOverlap="1">
            <wp:simplePos x="0" y="0"/>
            <wp:positionH relativeFrom="column">
              <wp:posOffset>-107315</wp:posOffset>
            </wp:positionH>
            <wp:positionV relativeFrom="paragraph">
              <wp:posOffset>109220</wp:posOffset>
            </wp:positionV>
            <wp:extent cx="5925820" cy="2634615"/>
            <wp:effectExtent l="0" t="0" r="17780" b="1333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3"/>
                    <a:stretch>
                      <a:fillRect/>
                    </a:stretch>
                  </pic:blipFill>
                  <pic:spPr>
                    <a:xfrm>
                      <a:off x="0" y="0"/>
                      <a:ext cx="5925820" cy="2634615"/>
                    </a:xfrm>
                    <a:prstGeom prst="rect">
                      <a:avLst/>
                    </a:prstGeom>
                    <a:noFill/>
                    <a:ln>
                      <a:noFill/>
                    </a:ln>
                  </pic:spPr>
                </pic:pic>
              </a:graphicData>
            </a:graphic>
          </wp:anchor>
        </w:drawing>
      </w:r>
    </w:p>
    <w:p w14:paraId="68EC8E49">
      <w:pPr>
        <w:jc w:val="both"/>
        <w:rPr>
          <w:rFonts w:hint="default" w:ascii="Calibri" w:hAnsi="Calibri" w:cs="Calibri"/>
          <w:sz w:val="21"/>
          <w:szCs w:val="21"/>
        </w:rPr>
      </w:pPr>
    </w:p>
    <w:p w14:paraId="162AA15C">
      <w:pPr>
        <w:jc w:val="both"/>
        <w:rPr>
          <w:rFonts w:hint="default" w:ascii="Calibri" w:hAnsi="Calibri" w:cs="Calibri"/>
          <w:color w:val="000000"/>
          <w:sz w:val="21"/>
          <w:szCs w:val="21"/>
        </w:rPr>
      </w:pPr>
    </w:p>
    <w:p w14:paraId="07227668">
      <w:pPr>
        <w:jc w:val="both"/>
        <w:rPr>
          <w:rFonts w:hint="default" w:ascii="Calibri" w:hAnsi="Calibri" w:cs="Calibri"/>
          <w:color w:val="000000"/>
          <w:sz w:val="21"/>
          <w:szCs w:val="21"/>
        </w:rPr>
      </w:pPr>
    </w:p>
    <w:p w14:paraId="70C0E21A">
      <w:pPr>
        <w:jc w:val="both"/>
        <w:rPr>
          <w:rFonts w:hint="default" w:ascii="Calibri" w:hAnsi="Calibri" w:cs="Calibri"/>
          <w:color w:val="000000"/>
          <w:sz w:val="21"/>
          <w:szCs w:val="21"/>
        </w:rPr>
      </w:pPr>
    </w:p>
    <w:p w14:paraId="7D44708D">
      <w:pPr>
        <w:jc w:val="both"/>
        <w:rPr>
          <w:rFonts w:hint="default" w:ascii="Calibri" w:hAnsi="Calibri" w:cs="Calibri"/>
          <w:color w:val="000000"/>
          <w:sz w:val="21"/>
          <w:szCs w:val="21"/>
        </w:rPr>
      </w:pPr>
    </w:p>
    <w:p w14:paraId="62E5647F">
      <w:pPr>
        <w:jc w:val="both"/>
        <w:rPr>
          <w:rFonts w:hint="default" w:ascii="Calibri" w:hAnsi="Calibri" w:cs="Calibri"/>
          <w:color w:val="000000"/>
          <w:sz w:val="21"/>
          <w:szCs w:val="21"/>
        </w:rPr>
      </w:pPr>
    </w:p>
    <w:p w14:paraId="08851D30">
      <w:pPr>
        <w:jc w:val="both"/>
        <w:rPr>
          <w:rFonts w:hint="default" w:ascii="Calibri" w:hAnsi="Calibri" w:cs="Calibri"/>
          <w:color w:val="000000"/>
          <w:sz w:val="21"/>
          <w:szCs w:val="21"/>
        </w:rPr>
      </w:pPr>
    </w:p>
    <w:p w14:paraId="5F21E9BB">
      <w:pPr>
        <w:jc w:val="both"/>
        <w:rPr>
          <w:rFonts w:hint="default" w:ascii="Calibri" w:hAnsi="Calibri" w:cs="Calibri"/>
          <w:color w:val="000000"/>
          <w:sz w:val="21"/>
          <w:szCs w:val="21"/>
        </w:rPr>
      </w:pPr>
    </w:p>
    <w:p w14:paraId="78DDBDEC">
      <w:pPr>
        <w:jc w:val="both"/>
        <w:rPr>
          <w:rFonts w:hint="default" w:ascii="Calibri" w:hAnsi="Calibri" w:cs="Calibri"/>
          <w:color w:val="000000"/>
          <w:sz w:val="21"/>
          <w:szCs w:val="21"/>
        </w:rPr>
      </w:pPr>
    </w:p>
    <w:p w14:paraId="7175968B">
      <w:pPr>
        <w:jc w:val="both"/>
        <w:rPr>
          <w:rFonts w:hint="default" w:ascii="Calibri" w:hAnsi="Calibri" w:cs="Calibri"/>
          <w:color w:val="000000"/>
          <w:sz w:val="21"/>
          <w:szCs w:val="21"/>
        </w:rPr>
      </w:pPr>
    </w:p>
    <w:p w14:paraId="717B8A5E">
      <w:pPr>
        <w:jc w:val="both"/>
        <w:rPr>
          <w:rFonts w:hint="default" w:ascii="Calibri" w:hAnsi="Calibri" w:cs="Calibri"/>
          <w:color w:val="000000"/>
          <w:sz w:val="21"/>
          <w:szCs w:val="21"/>
        </w:rPr>
      </w:pPr>
    </w:p>
    <w:p w14:paraId="44E913E7">
      <w:pPr>
        <w:jc w:val="both"/>
        <w:rPr>
          <w:rFonts w:hint="default" w:ascii="Calibri" w:hAnsi="Calibri" w:cs="Calibri"/>
          <w:color w:val="000000"/>
          <w:sz w:val="21"/>
          <w:szCs w:val="21"/>
        </w:rPr>
      </w:pPr>
    </w:p>
    <w:p w14:paraId="7E315730">
      <w:pPr>
        <w:jc w:val="both"/>
        <w:rPr>
          <w:rFonts w:hint="default" w:ascii="Calibri" w:hAnsi="Calibri" w:cs="Calibri"/>
          <w:color w:val="000000"/>
          <w:sz w:val="21"/>
          <w:szCs w:val="21"/>
        </w:rPr>
      </w:pPr>
    </w:p>
    <w:p w14:paraId="3E6BD25D">
      <w:pPr>
        <w:jc w:val="both"/>
        <w:rPr>
          <w:rFonts w:hint="default" w:ascii="Calibri" w:hAnsi="Calibri" w:cs="Calibri"/>
          <w:color w:val="000000"/>
          <w:sz w:val="21"/>
          <w:szCs w:val="21"/>
        </w:rPr>
      </w:pPr>
    </w:p>
    <w:p w14:paraId="535C9CF8">
      <w:pPr>
        <w:jc w:val="both"/>
        <w:rPr>
          <w:rFonts w:hint="default" w:ascii="Calibri" w:hAnsi="Calibri" w:cs="Calibri"/>
          <w:color w:val="000000"/>
          <w:sz w:val="21"/>
          <w:szCs w:val="21"/>
        </w:rPr>
      </w:pPr>
    </w:p>
    <w:p w14:paraId="4E85E407">
      <w:pPr>
        <w:jc w:val="both"/>
        <w:rPr>
          <w:rFonts w:hint="default" w:ascii="Calibri" w:hAnsi="Calibri" w:cs="Calibri"/>
          <w:color w:val="000000"/>
          <w:sz w:val="21"/>
          <w:szCs w:val="21"/>
        </w:rPr>
      </w:pPr>
    </w:p>
    <w:p w14:paraId="20B196DF">
      <w:pPr>
        <w:jc w:val="both"/>
        <w:rPr>
          <w:rFonts w:hint="default" w:ascii="Calibri" w:hAnsi="Calibri" w:cs="Calibri"/>
          <w:sz w:val="21"/>
          <w:szCs w:val="21"/>
        </w:rPr>
      </w:pPr>
      <w:r>
        <w:rPr>
          <w:rFonts w:hint="default" w:ascii="Calibri" w:hAnsi="Calibri" w:cs="Calibri"/>
          <w:color w:val="000000"/>
          <w:sz w:val="21"/>
          <w:szCs w:val="21"/>
        </w:rPr>
        <w:t xml:space="preserve">Para mais informações, entre em contato com a Bolsa Brasileira de Mercadorias pelo e-mail </w:t>
      </w:r>
      <w:r>
        <w:rPr>
          <w:rFonts w:hint="default" w:ascii="Calibri" w:hAnsi="Calibri" w:cs="Calibri"/>
          <w:color w:val="0000FF"/>
          <w:sz w:val="21"/>
          <w:szCs w:val="21"/>
        </w:rPr>
        <w:t>elicitacao@bbmnet.com.br</w:t>
      </w:r>
      <w:r>
        <w:rPr>
          <w:rStyle w:val="141"/>
          <w:rFonts w:hint="default" w:ascii="Calibri" w:hAnsi="Calibri" w:cs="Calibri"/>
          <w:color w:val="000000"/>
          <w:sz w:val="21"/>
          <w:szCs w:val="21"/>
        </w:rPr>
        <w:t> </w:t>
      </w:r>
      <w:r>
        <w:rPr>
          <w:rFonts w:hint="default" w:ascii="Calibri" w:hAnsi="Calibri" w:cs="Calibri"/>
          <w:color w:val="000000"/>
          <w:sz w:val="21"/>
          <w:szCs w:val="21"/>
        </w:rPr>
        <w:t>ou fale com as nossas</w:t>
      </w:r>
      <w:r>
        <w:rPr>
          <w:rStyle w:val="141"/>
          <w:rFonts w:hint="default" w:ascii="Calibri" w:hAnsi="Calibri" w:cs="Calibri"/>
          <w:color w:val="000000"/>
          <w:sz w:val="21"/>
          <w:szCs w:val="21"/>
        </w:rPr>
        <w:t> </w:t>
      </w:r>
      <w:r>
        <w:rPr>
          <w:rFonts w:hint="default" w:ascii="Calibri" w:hAnsi="Calibri" w:cs="Calibri"/>
          <w:sz w:val="21"/>
          <w:szCs w:val="21"/>
        </w:rPr>
        <w:t>unidades regionais.</w:t>
      </w:r>
    </w:p>
    <w:p w14:paraId="4F917B46">
      <w:pPr>
        <w:rPr>
          <w:rFonts w:hint="default" w:ascii="Calibri" w:hAnsi="Calibri" w:cs="Calibri"/>
          <w:b/>
          <w:bCs/>
          <w:sz w:val="21"/>
          <w:szCs w:val="21"/>
        </w:rPr>
      </w:pPr>
      <w:r>
        <w:rPr>
          <w:rFonts w:hint="default" w:ascii="Calibri" w:hAnsi="Calibri" w:cs="Calibri"/>
          <w:b/>
          <w:bCs/>
          <w:sz w:val="21"/>
          <w:szCs w:val="21"/>
        </w:rPr>
        <w:br w:type="page"/>
      </w:r>
    </w:p>
    <w:p w14:paraId="773028DE">
      <w:pPr>
        <w:rPr>
          <w:rFonts w:hint="default" w:ascii="Calibri" w:hAnsi="Calibri" w:cs="Calibri"/>
          <w:b/>
          <w:bCs/>
          <w:sz w:val="21"/>
          <w:szCs w:val="21"/>
        </w:rPr>
      </w:pPr>
    </w:p>
    <w:p w14:paraId="27E12E0B">
      <w:pPr>
        <w:spacing w:line="276" w:lineRule="auto"/>
        <w:jc w:val="center"/>
        <w:rPr>
          <w:rFonts w:hint="default" w:ascii="Calibri" w:hAnsi="Calibri" w:cs="Calibri"/>
          <w:b/>
          <w:bCs/>
          <w:sz w:val="21"/>
          <w:szCs w:val="21"/>
        </w:rPr>
      </w:pPr>
    </w:p>
    <w:p w14:paraId="54B87E11">
      <w:pPr>
        <w:spacing w:line="276" w:lineRule="auto"/>
        <w:jc w:val="center"/>
        <w:rPr>
          <w:rFonts w:hint="default" w:ascii="Calibri" w:hAnsi="Calibri" w:cs="Calibri"/>
          <w:b/>
          <w:bCs/>
          <w:sz w:val="21"/>
          <w:szCs w:val="21"/>
        </w:rPr>
      </w:pPr>
      <w:r>
        <w:rPr>
          <w:rFonts w:hint="default" w:ascii="Calibri" w:hAnsi="Calibri" w:cs="Calibri"/>
          <w:b/>
          <w:bCs/>
          <w:sz w:val="21"/>
          <w:szCs w:val="21"/>
        </w:rPr>
        <w:t>PREFEITURA DE LEME</w:t>
      </w:r>
    </w:p>
    <w:p w14:paraId="3293FF6D">
      <w:pPr>
        <w:spacing w:line="276" w:lineRule="auto"/>
        <w:jc w:val="center"/>
        <w:rPr>
          <w:rFonts w:hint="default" w:ascii="Calibri" w:hAnsi="Calibri" w:cs="Calibri"/>
          <w:b/>
          <w:bCs/>
          <w:sz w:val="21"/>
          <w:szCs w:val="21"/>
        </w:rPr>
      </w:pPr>
      <w:r>
        <w:rPr>
          <w:rFonts w:hint="default" w:ascii="Calibri" w:hAnsi="Calibri" w:cs="Calibri"/>
          <w:b/>
          <w:bCs/>
          <w:sz w:val="21"/>
          <w:szCs w:val="21"/>
        </w:rPr>
        <w:t>RESUMO DE EDITAL</w:t>
      </w:r>
    </w:p>
    <w:p w14:paraId="093B2435">
      <w:pPr>
        <w:spacing w:line="276" w:lineRule="auto"/>
        <w:jc w:val="both"/>
        <w:rPr>
          <w:rFonts w:hint="default" w:ascii="Calibri" w:hAnsi="Calibri" w:cs="Calibri"/>
          <w:sz w:val="21"/>
          <w:szCs w:val="21"/>
        </w:rPr>
      </w:pPr>
    </w:p>
    <w:p w14:paraId="053B8171">
      <w:pPr>
        <w:spacing w:line="276" w:lineRule="auto"/>
        <w:jc w:val="both"/>
        <w:rPr>
          <w:rFonts w:hint="default" w:ascii="Calibri" w:hAnsi="Calibri" w:cs="Calibri"/>
          <w:sz w:val="21"/>
          <w:szCs w:val="21"/>
        </w:rPr>
      </w:pPr>
      <w:r>
        <w:rPr>
          <w:rFonts w:hint="default" w:ascii="Calibri" w:hAnsi="Calibri" w:cs="Calibri"/>
          <w:sz w:val="21"/>
          <w:szCs w:val="21"/>
        </w:rPr>
        <w:t>A Prefeitura do Município de Leme, comunica que encontra-se instaurado e disponível no setor de licitações, o processo abaixo:</w:t>
      </w:r>
    </w:p>
    <w:p w14:paraId="6C8FE866">
      <w:pPr>
        <w:jc w:val="both"/>
        <w:rPr>
          <w:rFonts w:hint="default" w:ascii="Calibri" w:hAnsi="Calibri" w:cs="Calibri"/>
          <w:b w:val="0"/>
          <w:bCs w:val="0"/>
          <w:color w:val="000000"/>
          <w:sz w:val="21"/>
          <w:szCs w:val="21"/>
        </w:rPr>
      </w:pPr>
    </w:p>
    <w:p w14:paraId="1291703C">
      <w:pPr>
        <w:autoSpaceDE w:val="0"/>
        <w:autoSpaceDN w:val="0"/>
        <w:adjustRightInd w:val="0"/>
        <w:spacing w:before="120" w:line="276" w:lineRule="auto"/>
        <w:jc w:val="both"/>
        <w:rPr>
          <w:rFonts w:hint="default" w:ascii="Calibri" w:hAnsi="Calibri" w:eastAsia="SimSun" w:cs="Calibri"/>
          <w:color w:val="000000"/>
          <w:sz w:val="21"/>
          <w:szCs w:val="21"/>
          <w:highlight w:val="none"/>
        </w:rPr>
      </w:pPr>
      <w:r>
        <w:rPr>
          <w:rFonts w:hint="default" w:ascii="Calibri" w:hAnsi="Calibri" w:cs="Calibri"/>
          <w:b/>
          <w:bCs/>
          <w:color w:val="000000"/>
          <w:sz w:val="21"/>
          <w:szCs w:val="21"/>
          <w:highlight w:val="none"/>
        </w:rPr>
        <w:t>Pregão Eletrônico</w:t>
      </w:r>
      <w:r>
        <w:rPr>
          <w:rFonts w:hint="default" w:ascii="Calibri" w:hAnsi="Calibri" w:cs="Calibri"/>
          <w:color w:val="000000"/>
          <w:sz w:val="21"/>
          <w:szCs w:val="21"/>
          <w:highlight w:val="none"/>
        </w:rPr>
        <w:t>: Nº</w:t>
      </w:r>
      <w:r>
        <w:rPr>
          <w:rFonts w:hint="default" w:ascii="Calibri" w:hAnsi="Calibri" w:cs="Calibri"/>
          <w:color w:val="000000"/>
          <w:sz w:val="21"/>
          <w:szCs w:val="21"/>
          <w:highlight w:val="none"/>
          <w:lang w:val="pt-BR"/>
        </w:rPr>
        <w:t xml:space="preserve"> 005/2025</w:t>
      </w:r>
      <w:r>
        <w:rPr>
          <w:rFonts w:hint="default" w:ascii="Calibri" w:hAnsi="Calibri" w:cs="Calibri"/>
          <w:color w:val="000000"/>
          <w:sz w:val="21"/>
          <w:szCs w:val="21"/>
          <w:highlight w:val="none"/>
        </w:rPr>
        <w:t xml:space="preserve">; </w:t>
      </w:r>
      <w:r>
        <w:rPr>
          <w:rFonts w:hint="default" w:ascii="Calibri" w:hAnsi="Calibri" w:cs="Calibri"/>
          <w:b/>
          <w:bCs/>
          <w:color w:val="000000"/>
          <w:sz w:val="21"/>
          <w:szCs w:val="21"/>
          <w:highlight w:val="none"/>
        </w:rPr>
        <w:t>Obje</w:t>
      </w:r>
      <w:r>
        <w:rPr>
          <w:rFonts w:hint="default" w:ascii="Calibri" w:hAnsi="Calibri" w:cs="Calibri"/>
          <w:color w:val="000000"/>
          <w:sz w:val="21"/>
          <w:szCs w:val="21"/>
          <w:highlight w:val="none"/>
        </w:rPr>
        <w:t>to:</w:t>
      </w:r>
      <w:r>
        <w:rPr>
          <w:rFonts w:hint="default" w:ascii="Calibri" w:hAnsi="Calibri" w:cs="Calibri"/>
          <w:b w:val="0"/>
          <w:bCs w:val="0"/>
          <w:color w:val="000000"/>
          <w:sz w:val="21"/>
          <w:szCs w:val="21"/>
          <w:highlight w:val="none"/>
          <w:lang w:val="pt-BR"/>
        </w:rPr>
        <w:t xml:space="preserve"> </w:t>
      </w:r>
      <w:r>
        <w:rPr>
          <w:rFonts w:hint="default" w:ascii="Calibri" w:hAnsi="Calibri"/>
          <w:b w:val="0"/>
          <w:bCs w:val="0"/>
          <w:sz w:val="21"/>
          <w:szCs w:val="21"/>
        </w:rPr>
        <w:t xml:space="preserve">  </w:t>
      </w:r>
      <w:r>
        <w:rPr>
          <w:rFonts w:hint="default" w:ascii="Calibri" w:hAnsi="Calibri"/>
          <w:b/>
          <w:bCs/>
          <w:color w:val="auto"/>
          <w:sz w:val="21"/>
          <w:szCs w:val="21"/>
        </w:rPr>
        <w:t>REGISTRO DE PREÇOS PARA AQUISIÇÃO DE GENEROS ALIMENTÍCIOS DIVERSOS PARA AS SECRETARIAS MUNICIPAIS E SUAS UNIDADES OPERACIONAIS</w:t>
      </w:r>
      <w:r>
        <w:rPr>
          <w:rFonts w:hint="default" w:ascii="Calibri" w:hAnsi="Calibri" w:eastAsia="SimSun" w:cs="Calibri"/>
          <w:b w:val="0"/>
          <w:bCs/>
          <w:color w:val="000000"/>
          <w:sz w:val="21"/>
          <w:szCs w:val="21"/>
          <w:highlight w:val="none"/>
          <w:lang w:val="pt-BR"/>
        </w:rPr>
        <w:t xml:space="preserve">; </w:t>
      </w:r>
      <w:r>
        <w:rPr>
          <w:rFonts w:hint="default" w:ascii="Calibri" w:hAnsi="Calibri" w:cs="Calibri"/>
          <w:b/>
          <w:bCs/>
          <w:color w:val="000000"/>
          <w:sz w:val="21"/>
          <w:szCs w:val="21"/>
          <w:highlight w:val="none"/>
        </w:rPr>
        <w:t>Edital Na Íntegra</w:t>
      </w:r>
      <w:r>
        <w:rPr>
          <w:rFonts w:hint="default" w:ascii="Calibri" w:hAnsi="Calibri" w:cs="Calibri"/>
          <w:color w:val="000000"/>
          <w:sz w:val="21"/>
          <w:szCs w:val="21"/>
          <w:highlight w:val="none"/>
        </w:rPr>
        <w:t>: (</w:t>
      </w:r>
      <w:r>
        <w:rPr>
          <w:rFonts w:hint="default" w:ascii="Calibri" w:hAnsi="Calibri" w:cs="Calibri"/>
          <w:color w:val="000000"/>
          <w:sz w:val="21"/>
          <w:szCs w:val="21"/>
          <w:highlight w:val="none"/>
          <w:lang w:val="pt-BR"/>
        </w:rPr>
        <w:fldChar w:fldCharType="begin"/>
      </w:r>
      <w:r>
        <w:rPr>
          <w:rFonts w:hint="default" w:ascii="Calibri" w:hAnsi="Calibri" w:cs="Calibri"/>
          <w:color w:val="000000"/>
          <w:sz w:val="21"/>
          <w:szCs w:val="21"/>
          <w:highlight w:val="none"/>
          <w:lang w:val="pt-BR"/>
        </w:rPr>
        <w:instrText xml:space="preserve"> HYPERLINK "http://www.leme.sp.gov.br" </w:instrText>
      </w:r>
      <w:r>
        <w:rPr>
          <w:rFonts w:hint="default" w:ascii="Calibri" w:hAnsi="Calibri" w:cs="Calibri"/>
          <w:color w:val="000000"/>
          <w:sz w:val="21"/>
          <w:szCs w:val="21"/>
          <w:highlight w:val="none"/>
          <w:lang w:val="pt-BR"/>
        </w:rPr>
        <w:fldChar w:fldCharType="separate"/>
      </w:r>
      <w:r>
        <w:rPr>
          <w:rStyle w:val="13"/>
          <w:rFonts w:hint="default" w:ascii="Calibri" w:hAnsi="Calibri" w:cs="Calibri"/>
          <w:color w:val="000000"/>
          <w:sz w:val="21"/>
          <w:szCs w:val="21"/>
          <w:highlight w:val="none"/>
          <w:lang w:val="pt-BR"/>
        </w:rPr>
        <w:t>www.leme.sp.gov.br</w:t>
      </w:r>
      <w:r>
        <w:rPr>
          <w:rFonts w:hint="default" w:ascii="Calibri" w:hAnsi="Calibri" w:cs="Calibri"/>
          <w:color w:val="000000"/>
          <w:sz w:val="21"/>
          <w:szCs w:val="21"/>
          <w:highlight w:val="none"/>
          <w:lang w:val="pt-BR"/>
        </w:rPr>
        <w:fldChar w:fldCharType="end"/>
      </w:r>
      <w:r>
        <w:rPr>
          <w:rFonts w:hint="default" w:ascii="Calibri" w:hAnsi="Calibri" w:cs="Calibri"/>
          <w:color w:val="000000"/>
          <w:sz w:val="21"/>
          <w:szCs w:val="21"/>
          <w:highlight w:val="none"/>
          <w:lang w:val="pt-BR"/>
        </w:rPr>
        <w:t xml:space="preserve"> </w:t>
      </w:r>
      <w:r>
        <w:rPr>
          <w:rFonts w:hint="default" w:ascii="Calibri" w:hAnsi="Calibri" w:cs="Calibri"/>
          <w:color w:val="000000"/>
          <w:sz w:val="21"/>
          <w:szCs w:val="21"/>
          <w:highlight w:val="none"/>
        </w:rPr>
        <w:t>Entrar No Link: Licitações</w:t>
      </w:r>
      <w:r>
        <w:rPr>
          <w:rFonts w:hint="default" w:ascii="Calibri" w:hAnsi="Calibri" w:cs="Calibri"/>
          <w:color w:val="000000"/>
          <w:sz w:val="21"/>
          <w:szCs w:val="21"/>
          <w:highlight w:val="none"/>
          <w:lang w:val="pt-BR"/>
        </w:rPr>
        <w:t xml:space="preserve"> - Pregões Eletrônicos - 2025</w:t>
      </w:r>
      <w:r>
        <w:rPr>
          <w:rFonts w:hint="default" w:ascii="Calibri" w:hAnsi="Calibri" w:cs="Calibri"/>
          <w:color w:val="000000"/>
          <w:sz w:val="21"/>
          <w:szCs w:val="21"/>
          <w:highlight w:val="none"/>
        </w:rPr>
        <w:t>)</w:t>
      </w:r>
      <w:r>
        <w:rPr>
          <w:rFonts w:hint="default" w:ascii="Calibri" w:hAnsi="Calibri" w:cs="Calibri"/>
          <w:color w:val="000000"/>
          <w:sz w:val="21"/>
          <w:szCs w:val="21"/>
          <w:highlight w:val="none"/>
          <w:lang w:val="pt-BR"/>
        </w:rPr>
        <w:t xml:space="preserve">; </w:t>
      </w:r>
      <w:r>
        <w:rPr>
          <w:rFonts w:hint="default" w:ascii="Calibri" w:hAnsi="Calibri" w:cs="Calibri"/>
          <w:color w:val="000000"/>
          <w:sz w:val="21"/>
          <w:szCs w:val="21"/>
          <w:highlight w:val="none"/>
        </w:rPr>
        <w:t xml:space="preserve"> </w:t>
      </w:r>
      <w:r>
        <w:rPr>
          <w:color w:val="0070C0"/>
          <w:highlight w:val="none"/>
        </w:rPr>
        <w:fldChar w:fldCharType="begin"/>
      </w:r>
      <w:r>
        <w:rPr>
          <w:color w:val="0070C0"/>
          <w:highlight w:val="none"/>
        </w:rPr>
        <w:instrText xml:space="preserve"> HYPERLINK "http://WWW.NOVOBBMNET.COM.BR" </w:instrText>
      </w:r>
      <w:r>
        <w:rPr>
          <w:color w:val="0070C0"/>
          <w:highlight w:val="none"/>
        </w:rPr>
        <w:fldChar w:fldCharType="separate"/>
      </w:r>
      <w:r>
        <w:rPr>
          <w:rStyle w:val="13"/>
          <w:rFonts w:asciiTheme="majorHAnsi" w:hAnsiTheme="majorHAnsi" w:cstheme="majorHAnsi"/>
          <w:b/>
          <w:bCs/>
          <w:color w:val="0070C0"/>
          <w:sz w:val="22"/>
          <w:szCs w:val="22"/>
          <w:highlight w:val="none"/>
          <w:lang w:eastAsia="en-US"/>
        </w:rPr>
        <w:t>www.novobbmnet.com.br</w:t>
      </w:r>
      <w:r>
        <w:rPr>
          <w:rStyle w:val="13"/>
          <w:rFonts w:asciiTheme="majorHAnsi" w:hAnsiTheme="majorHAnsi" w:cstheme="majorHAnsi"/>
          <w:b/>
          <w:bCs/>
          <w:color w:val="0070C0"/>
          <w:sz w:val="22"/>
          <w:szCs w:val="22"/>
          <w:highlight w:val="none"/>
          <w:lang w:eastAsia="en-US"/>
        </w:rPr>
        <w:fldChar w:fldCharType="end"/>
      </w:r>
      <w:r>
        <w:rPr>
          <w:rFonts w:hint="default" w:ascii="Calibri" w:hAnsi="Calibri" w:cs="Calibri"/>
          <w:color w:val="000000"/>
          <w:sz w:val="21"/>
          <w:szCs w:val="21"/>
          <w:highlight w:val="none"/>
        </w:rPr>
        <w:t xml:space="preserve">;   </w:t>
      </w:r>
      <w:r>
        <w:rPr>
          <w:rFonts w:hint="default" w:ascii="Calibri" w:hAnsi="Calibri" w:cs="Calibri"/>
          <w:color w:val="000000"/>
          <w:sz w:val="21"/>
          <w:szCs w:val="21"/>
          <w:highlight w:val="none"/>
          <w:lang w:val="pt-BR"/>
        </w:rPr>
        <w:t>Rua Dr. Armando Salles de Oliveira</w:t>
      </w:r>
      <w:r>
        <w:rPr>
          <w:rFonts w:hint="default" w:ascii="Calibri" w:hAnsi="Calibri" w:cs="Calibri"/>
          <w:color w:val="000000"/>
          <w:sz w:val="21"/>
          <w:szCs w:val="21"/>
          <w:highlight w:val="none"/>
        </w:rPr>
        <w:t xml:space="preserve">, </w:t>
      </w:r>
      <w:r>
        <w:rPr>
          <w:rFonts w:hint="default" w:ascii="Calibri" w:hAnsi="Calibri" w:cs="Calibri"/>
          <w:color w:val="000000"/>
          <w:sz w:val="21"/>
          <w:szCs w:val="21"/>
          <w:highlight w:val="none"/>
          <w:lang w:val="pt-BR"/>
        </w:rPr>
        <w:t>1.085</w:t>
      </w:r>
      <w:r>
        <w:rPr>
          <w:rFonts w:hint="default" w:ascii="Calibri" w:hAnsi="Calibri" w:cs="Calibri"/>
          <w:color w:val="000000"/>
          <w:sz w:val="21"/>
          <w:szCs w:val="21"/>
          <w:highlight w:val="none"/>
        </w:rPr>
        <w:t xml:space="preserve">  • </w:t>
      </w:r>
      <w:r>
        <w:rPr>
          <w:rFonts w:hint="default" w:ascii="Calibri" w:hAnsi="Calibri" w:cs="Calibri"/>
          <w:color w:val="000000"/>
          <w:sz w:val="21"/>
          <w:szCs w:val="21"/>
          <w:highlight w:val="none"/>
          <w:lang w:val="pt-BR"/>
        </w:rPr>
        <w:t>3º Andar</w:t>
      </w:r>
      <w:r>
        <w:rPr>
          <w:rFonts w:hint="default" w:ascii="Calibri" w:hAnsi="Calibri" w:cs="Calibri"/>
          <w:color w:val="000000"/>
          <w:sz w:val="21"/>
          <w:szCs w:val="21"/>
          <w:highlight w:val="none"/>
        </w:rPr>
        <w:t xml:space="preserve"> •</w:t>
      </w:r>
      <w:r>
        <w:rPr>
          <w:rFonts w:hint="default" w:ascii="Calibri" w:hAnsi="Calibri" w:cs="Calibri"/>
          <w:color w:val="000000"/>
          <w:sz w:val="21"/>
          <w:szCs w:val="21"/>
          <w:highlight w:val="none"/>
          <w:lang w:val="pt-BR"/>
        </w:rPr>
        <w:t xml:space="preserve"> </w:t>
      </w:r>
      <w:r>
        <w:rPr>
          <w:rFonts w:hint="default" w:ascii="Calibri" w:hAnsi="Calibri" w:cs="Calibri"/>
          <w:color w:val="000000"/>
          <w:sz w:val="21"/>
          <w:szCs w:val="21"/>
          <w:highlight w:val="none"/>
        </w:rPr>
        <w:t>Centro  •  CEP 13610-</w:t>
      </w:r>
      <w:r>
        <w:rPr>
          <w:rFonts w:hint="default" w:ascii="Calibri" w:hAnsi="Calibri" w:cs="Calibri"/>
          <w:color w:val="000000"/>
          <w:sz w:val="21"/>
          <w:szCs w:val="21"/>
          <w:highlight w:val="none"/>
          <w:lang w:val="pt-BR"/>
        </w:rPr>
        <w:t>220</w:t>
      </w:r>
      <w:r>
        <w:rPr>
          <w:rFonts w:hint="default" w:ascii="Calibri" w:hAnsi="Calibri" w:cs="Calibri"/>
          <w:color w:val="000000"/>
          <w:sz w:val="21"/>
          <w:szCs w:val="21"/>
          <w:highlight w:val="none"/>
        </w:rPr>
        <w:t xml:space="preserve">  •  Leme  •  SP</w:t>
      </w:r>
      <w:r>
        <w:rPr>
          <w:rFonts w:hint="default" w:ascii="Calibri" w:hAnsi="Calibri" w:cs="Calibri"/>
          <w:color w:val="000000"/>
          <w:sz w:val="21"/>
          <w:szCs w:val="21"/>
          <w:highlight w:val="none"/>
          <w:lang w:val="pt-BR"/>
        </w:rPr>
        <w:t>, d</w:t>
      </w:r>
      <w:r>
        <w:rPr>
          <w:rFonts w:hint="default" w:ascii="Calibri" w:hAnsi="Calibri" w:cs="Calibri"/>
          <w:color w:val="000000"/>
          <w:sz w:val="21"/>
          <w:szCs w:val="21"/>
          <w:highlight w:val="none"/>
        </w:rPr>
        <w:t xml:space="preserve">as 08 Às 16 Horas, Departamento de Licitações e Compras: </w:t>
      </w:r>
      <w:r>
        <w:rPr>
          <w:rFonts w:asciiTheme="majorHAnsi" w:hAnsiTheme="majorHAnsi" w:cstheme="majorHAnsi"/>
          <w:b/>
          <w:bCs/>
          <w:sz w:val="22"/>
          <w:szCs w:val="22"/>
          <w:highlight w:val="none"/>
          <w:lang w:eastAsia="en-US"/>
        </w:rPr>
        <w:t>INICIO DE RECEBIMENTO DAS PROPOSTAS</w:t>
      </w:r>
      <w:r>
        <w:rPr>
          <w:rFonts w:hint="default" w:asciiTheme="majorHAnsi" w:hAnsiTheme="majorHAnsi" w:cstheme="majorHAnsi"/>
          <w:b/>
          <w:bCs/>
          <w:sz w:val="22"/>
          <w:szCs w:val="22"/>
          <w:highlight w:val="none"/>
          <w:lang w:val="pt-BR" w:eastAsia="en-US"/>
        </w:rPr>
        <w:t xml:space="preserve">: </w:t>
      </w:r>
      <w:r>
        <w:rPr>
          <w:rFonts w:asciiTheme="majorHAnsi" w:hAnsiTheme="majorHAnsi" w:cstheme="majorHAnsi"/>
          <w:b/>
          <w:bCs/>
          <w:sz w:val="22"/>
          <w:szCs w:val="22"/>
          <w:highlight w:val="none"/>
          <w:lang w:eastAsia="en-US"/>
        </w:rPr>
        <w:t xml:space="preserve"> </w:t>
      </w:r>
      <w:r>
        <w:rPr>
          <w:rFonts w:hint="default" w:asciiTheme="majorHAnsi" w:hAnsiTheme="majorHAnsi" w:cstheme="majorHAnsi"/>
          <w:b w:val="0"/>
          <w:bCs w:val="0"/>
          <w:sz w:val="22"/>
          <w:szCs w:val="22"/>
          <w:highlight w:val="none"/>
          <w:lang w:val="pt-BR" w:eastAsia="en-US"/>
        </w:rPr>
        <w:t>10</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02</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2025</w:t>
      </w:r>
      <w:r>
        <w:rPr>
          <w:rFonts w:asciiTheme="majorHAnsi" w:hAnsiTheme="majorHAnsi" w:cstheme="majorHAnsi"/>
          <w:b w:val="0"/>
          <w:bCs w:val="0"/>
          <w:sz w:val="22"/>
          <w:szCs w:val="22"/>
          <w:highlight w:val="none"/>
          <w:lang w:eastAsia="en-US"/>
        </w:rPr>
        <w:t xml:space="preserve"> – </w:t>
      </w:r>
      <w:r>
        <w:rPr>
          <w:rFonts w:hint="default" w:asciiTheme="majorHAnsi" w:hAnsiTheme="majorHAnsi" w:cstheme="majorHAnsi"/>
          <w:b w:val="0"/>
          <w:bCs w:val="0"/>
          <w:sz w:val="22"/>
          <w:szCs w:val="22"/>
          <w:highlight w:val="none"/>
          <w:lang w:val="pt-BR" w:eastAsia="en-US"/>
        </w:rPr>
        <w:t xml:space="preserve">08:00; </w:t>
      </w:r>
      <w:r>
        <w:rPr>
          <w:rFonts w:asciiTheme="majorHAnsi" w:hAnsiTheme="majorHAnsi" w:cstheme="majorHAnsi"/>
          <w:b/>
          <w:bCs/>
          <w:sz w:val="22"/>
          <w:szCs w:val="22"/>
          <w:highlight w:val="none"/>
          <w:lang w:eastAsia="en-US"/>
        </w:rPr>
        <w:t xml:space="preserve">TÉRMINO DO RECEBIMENTO DE PROPOSTAS: </w:t>
      </w:r>
      <w:r>
        <w:rPr>
          <w:rFonts w:hint="default" w:asciiTheme="majorHAnsi" w:hAnsiTheme="majorHAnsi" w:cstheme="majorHAnsi"/>
          <w:b w:val="0"/>
          <w:bCs w:val="0"/>
          <w:sz w:val="22"/>
          <w:szCs w:val="22"/>
          <w:highlight w:val="none"/>
          <w:lang w:val="pt-BR" w:eastAsia="en-US"/>
        </w:rPr>
        <w:t>26</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02</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2025</w:t>
      </w:r>
      <w:r>
        <w:rPr>
          <w:rFonts w:asciiTheme="majorHAnsi" w:hAnsiTheme="majorHAnsi" w:cstheme="majorHAnsi"/>
          <w:b w:val="0"/>
          <w:bCs w:val="0"/>
          <w:sz w:val="22"/>
          <w:szCs w:val="22"/>
          <w:highlight w:val="none"/>
          <w:lang w:eastAsia="en-US"/>
        </w:rPr>
        <w:t xml:space="preserve"> – </w:t>
      </w:r>
      <w:r>
        <w:rPr>
          <w:rFonts w:hint="default" w:asciiTheme="majorHAnsi" w:hAnsiTheme="majorHAnsi" w:cstheme="majorHAnsi"/>
          <w:b w:val="0"/>
          <w:bCs w:val="0"/>
          <w:sz w:val="22"/>
          <w:szCs w:val="22"/>
          <w:highlight w:val="none"/>
          <w:lang w:val="pt-BR" w:eastAsia="en-US"/>
        </w:rPr>
        <w:t xml:space="preserve">08:00; </w:t>
      </w:r>
      <w:r>
        <w:rPr>
          <w:rFonts w:asciiTheme="majorHAnsi" w:hAnsiTheme="majorHAnsi" w:cstheme="majorHAnsi"/>
          <w:b/>
          <w:bCs/>
          <w:sz w:val="22"/>
          <w:szCs w:val="22"/>
          <w:highlight w:val="none"/>
          <w:lang w:eastAsia="en-US"/>
        </w:rPr>
        <w:t xml:space="preserve">ABERTURA E ANÁLISE DE PROPOSTA: </w:t>
      </w:r>
      <w:r>
        <w:rPr>
          <w:rFonts w:hint="default" w:asciiTheme="majorHAnsi" w:hAnsiTheme="majorHAnsi" w:cstheme="majorHAnsi"/>
          <w:b w:val="0"/>
          <w:bCs w:val="0"/>
          <w:sz w:val="22"/>
          <w:szCs w:val="22"/>
          <w:highlight w:val="none"/>
          <w:lang w:val="pt-BR" w:eastAsia="en-US"/>
        </w:rPr>
        <w:t>26</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02</w:t>
      </w:r>
      <w:r>
        <w:rPr>
          <w:rFonts w:asciiTheme="majorHAnsi" w:hAnsiTheme="majorHAnsi" w:cstheme="majorHAnsi"/>
          <w:b w:val="0"/>
          <w:bCs w:val="0"/>
          <w:sz w:val="22"/>
          <w:szCs w:val="22"/>
          <w:highlight w:val="none"/>
          <w:lang w:eastAsia="en-US"/>
        </w:rPr>
        <w:t>/</w:t>
      </w:r>
      <w:r>
        <w:rPr>
          <w:rFonts w:hint="default" w:asciiTheme="majorHAnsi" w:hAnsiTheme="majorHAnsi" w:cstheme="majorHAnsi"/>
          <w:b w:val="0"/>
          <w:bCs w:val="0"/>
          <w:sz w:val="22"/>
          <w:szCs w:val="22"/>
          <w:highlight w:val="none"/>
          <w:lang w:val="pt-BR" w:eastAsia="en-US"/>
        </w:rPr>
        <w:t>2025</w:t>
      </w:r>
      <w:r>
        <w:rPr>
          <w:rFonts w:asciiTheme="majorHAnsi" w:hAnsiTheme="majorHAnsi" w:cstheme="majorHAnsi"/>
          <w:b w:val="0"/>
          <w:bCs w:val="0"/>
          <w:sz w:val="22"/>
          <w:szCs w:val="22"/>
          <w:highlight w:val="none"/>
          <w:lang w:eastAsia="en-US"/>
        </w:rPr>
        <w:t xml:space="preserve"> – </w:t>
      </w:r>
      <w:r>
        <w:rPr>
          <w:rFonts w:hint="default" w:asciiTheme="majorHAnsi" w:hAnsiTheme="majorHAnsi" w:cstheme="majorHAnsi"/>
          <w:b w:val="0"/>
          <w:bCs w:val="0"/>
          <w:sz w:val="22"/>
          <w:szCs w:val="22"/>
          <w:highlight w:val="none"/>
          <w:lang w:val="pt-BR" w:eastAsia="en-US"/>
        </w:rPr>
        <w:t xml:space="preserve">08:01; </w:t>
      </w:r>
      <w:r>
        <w:rPr>
          <w:rFonts w:asciiTheme="majorHAnsi" w:hAnsiTheme="majorHAnsi" w:cstheme="majorHAnsi"/>
          <w:b/>
          <w:bCs/>
          <w:sz w:val="22"/>
          <w:szCs w:val="22"/>
          <w:highlight w:val="none"/>
          <w:lang w:eastAsia="en-US"/>
        </w:rPr>
        <w:t xml:space="preserve">INÍCIO DA ETAPA DE LANCES: </w:t>
      </w:r>
      <w:r>
        <w:rPr>
          <w:rFonts w:hint="default" w:asciiTheme="majorHAnsi" w:hAnsiTheme="majorHAnsi" w:cstheme="majorHAnsi"/>
          <w:b w:val="0"/>
          <w:bCs w:val="0"/>
          <w:sz w:val="22"/>
          <w:szCs w:val="22"/>
          <w:highlight w:val="yellow"/>
          <w:lang w:val="pt-BR" w:eastAsia="en-US"/>
        </w:rPr>
        <w:t>26</w:t>
      </w:r>
      <w:r>
        <w:rPr>
          <w:rFonts w:asciiTheme="majorHAnsi" w:hAnsiTheme="majorHAnsi" w:cstheme="majorHAnsi"/>
          <w:b w:val="0"/>
          <w:bCs w:val="0"/>
          <w:sz w:val="22"/>
          <w:szCs w:val="22"/>
          <w:highlight w:val="yellow"/>
          <w:lang w:eastAsia="en-US"/>
        </w:rPr>
        <w:t>/</w:t>
      </w:r>
      <w:r>
        <w:rPr>
          <w:rFonts w:hint="default" w:asciiTheme="majorHAnsi" w:hAnsiTheme="majorHAnsi" w:cstheme="majorHAnsi"/>
          <w:b w:val="0"/>
          <w:bCs w:val="0"/>
          <w:sz w:val="22"/>
          <w:szCs w:val="22"/>
          <w:highlight w:val="yellow"/>
          <w:lang w:val="pt-BR" w:eastAsia="en-US"/>
        </w:rPr>
        <w:t>02</w:t>
      </w:r>
      <w:r>
        <w:rPr>
          <w:rFonts w:asciiTheme="majorHAnsi" w:hAnsiTheme="majorHAnsi" w:cstheme="majorHAnsi"/>
          <w:b w:val="0"/>
          <w:bCs w:val="0"/>
          <w:sz w:val="22"/>
          <w:szCs w:val="22"/>
          <w:highlight w:val="yellow"/>
          <w:lang w:eastAsia="en-US"/>
        </w:rPr>
        <w:t>/</w:t>
      </w:r>
      <w:r>
        <w:rPr>
          <w:rFonts w:hint="default" w:asciiTheme="majorHAnsi" w:hAnsiTheme="majorHAnsi" w:cstheme="majorHAnsi"/>
          <w:b w:val="0"/>
          <w:bCs w:val="0"/>
          <w:sz w:val="22"/>
          <w:szCs w:val="22"/>
          <w:highlight w:val="yellow"/>
          <w:lang w:val="pt-BR" w:eastAsia="en-US"/>
        </w:rPr>
        <w:t>2025</w:t>
      </w:r>
      <w:r>
        <w:rPr>
          <w:rFonts w:asciiTheme="majorHAnsi" w:hAnsiTheme="majorHAnsi" w:cstheme="majorHAnsi"/>
          <w:b w:val="0"/>
          <w:bCs w:val="0"/>
          <w:sz w:val="22"/>
          <w:szCs w:val="22"/>
          <w:highlight w:val="yellow"/>
          <w:lang w:eastAsia="en-US"/>
        </w:rPr>
        <w:t xml:space="preserve"> – </w:t>
      </w:r>
      <w:r>
        <w:rPr>
          <w:rFonts w:hint="default" w:asciiTheme="majorHAnsi" w:hAnsiTheme="majorHAnsi" w:cstheme="majorHAnsi"/>
          <w:b w:val="0"/>
          <w:bCs w:val="0"/>
          <w:sz w:val="22"/>
          <w:szCs w:val="22"/>
          <w:highlight w:val="yellow"/>
          <w:lang w:val="pt-BR" w:eastAsia="en-US"/>
        </w:rPr>
        <w:t>09</w:t>
      </w:r>
      <w:r>
        <w:rPr>
          <w:rFonts w:asciiTheme="majorHAnsi" w:hAnsiTheme="majorHAnsi" w:cstheme="majorHAnsi"/>
          <w:b w:val="0"/>
          <w:bCs w:val="0"/>
          <w:sz w:val="22"/>
          <w:szCs w:val="22"/>
          <w:highlight w:val="yellow"/>
          <w:lang w:eastAsia="en-US"/>
        </w:rPr>
        <w:t>.</w:t>
      </w:r>
      <w:r>
        <w:rPr>
          <w:rFonts w:hint="default" w:asciiTheme="majorHAnsi" w:hAnsiTheme="majorHAnsi" w:cstheme="majorHAnsi"/>
          <w:b w:val="0"/>
          <w:bCs w:val="0"/>
          <w:sz w:val="22"/>
          <w:szCs w:val="22"/>
          <w:highlight w:val="yellow"/>
          <w:lang w:val="pt-BR" w:eastAsia="en-US"/>
        </w:rPr>
        <w:t xml:space="preserve">00; </w:t>
      </w:r>
      <w:r>
        <w:rPr>
          <w:rFonts w:hint="default" w:ascii="Calibri" w:hAnsi="Calibri" w:eastAsia="Calibri" w:cs="Calibri"/>
          <w:color w:val="000000"/>
          <w:sz w:val="21"/>
          <w:szCs w:val="21"/>
          <w:highlight w:val="none"/>
          <w:shd w:val="clear"/>
          <w:lang w:val="pt-BR"/>
        </w:rPr>
        <w:t xml:space="preserve"> </w:t>
      </w:r>
      <w:r>
        <w:rPr>
          <w:rFonts w:hint="default" w:ascii="Calibri" w:hAnsi="Calibri" w:cs="Calibri"/>
          <w:b/>
          <w:bCs/>
          <w:color w:val="000000"/>
          <w:sz w:val="21"/>
          <w:szCs w:val="21"/>
          <w:highlight w:val="none"/>
        </w:rPr>
        <w:t>REFERÊNCIA DE TEMPO:</w:t>
      </w:r>
      <w:r>
        <w:rPr>
          <w:rFonts w:hint="default" w:ascii="Calibri" w:hAnsi="Calibri" w:cs="Calibri"/>
          <w:color w:val="000000"/>
          <w:sz w:val="21"/>
          <w:szCs w:val="21"/>
          <w:highlight w:val="none"/>
        </w:rPr>
        <w:t xml:space="preserve"> PARA TODAS AS REFERÊNCIAS DE TEMPO SERÁ OBSERVADO O HORÁRIO DE BRASÍLIA-DF.LOCAL: </w:t>
      </w:r>
      <w:r>
        <w:rPr>
          <w:rFonts w:hint="default" w:ascii="Calibri" w:hAnsi="Calibri" w:cs="Calibri"/>
          <w:color w:val="000000"/>
          <w:sz w:val="21"/>
          <w:szCs w:val="21"/>
          <w:highlight w:val="none"/>
        </w:rPr>
        <w:fldChar w:fldCharType="begin"/>
      </w:r>
      <w:r>
        <w:rPr>
          <w:rFonts w:hint="default" w:ascii="Calibri" w:hAnsi="Calibri" w:cs="Calibri"/>
          <w:color w:val="000000"/>
          <w:sz w:val="21"/>
          <w:szCs w:val="21"/>
          <w:highlight w:val="none"/>
        </w:rPr>
        <w:instrText xml:space="preserve"> HYPERLINK "http://www.novobbmnet.com.br" </w:instrText>
      </w:r>
      <w:r>
        <w:rPr>
          <w:rFonts w:hint="default" w:ascii="Calibri" w:hAnsi="Calibri" w:cs="Calibri"/>
          <w:color w:val="000000"/>
          <w:sz w:val="21"/>
          <w:szCs w:val="21"/>
          <w:highlight w:val="none"/>
        </w:rPr>
        <w:fldChar w:fldCharType="separate"/>
      </w:r>
      <w:r>
        <w:rPr>
          <w:rStyle w:val="13"/>
          <w:rFonts w:hint="default" w:ascii="Calibri" w:hAnsi="Calibri" w:cs="Calibri"/>
          <w:color w:val="000000"/>
          <w:sz w:val="21"/>
          <w:szCs w:val="21"/>
          <w:highlight w:val="none"/>
        </w:rPr>
        <w:t>www.</w:t>
      </w:r>
      <w:r>
        <w:rPr>
          <w:rStyle w:val="13"/>
          <w:rFonts w:hint="default" w:ascii="Calibri" w:hAnsi="Calibri" w:cs="Calibri"/>
          <w:color w:val="000000"/>
          <w:sz w:val="21"/>
          <w:szCs w:val="21"/>
          <w:highlight w:val="none"/>
          <w:lang w:val="pt-BR"/>
        </w:rPr>
        <w:t>novobbmnet</w:t>
      </w:r>
      <w:r>
        <w:rPr>
          <w:rStyle w:val="13"/>
          <w:rFonts w:hint="default" w:ascii="Calibri" w:hAnsi="Calibri" w:cs="Calibri"/>
          <w:color w:val="000000"/>
          <w:sz w:val="21"/>
          <w:szCs w:val="21"/>
          <w:highlight w:val="none"/>
        </w:rPr>
        <w:t>.com.br</w:t>
      </w:r>
      <w:r>
        <w:rPr>
          <w:rFonts w:hint="default" w:ascii="Calibri" w:hAnsi="Calibri" w:cs="Calibri"/>
          <w:color w:val="000000"/>
          <w:sz w:val="21"/>
          <w:szCs w:val="21"/>
          <w:highlight w:val="none"/>
        </w:rPr>
        <w:fldChar w:fldCharType="end"/>
      </w:r>
      <w:r>
        <w:rPr>
          <w:rFonts w:hint="default" w:ascii="Calibri" w:hAnsi="Calibri" w:cs="Calibri"/>
          <w:color w:val="000000"/>
          <w:sz w:val="21"/>
          <w:szCs w:val="21"/>
          <w:highlight w:val="none"/>
          <w:lang w:val="pt-BR"/>
        </w:rPr>
        <w:t xml:space="preserve"> </w:t>
      </w:r>
      <w:r>
        <w:rPr>
          <w:rFonts w:hint="default" w:ascii="Calibri" w:hAnsi="Calibri" w:cs="Calibri"/>
          <w:color w:val="000000"/>
          <w:sz w:val="21"/>
          <w:szCs w:val="21"/>
          <w:highlight w:val="none"/>
        </w:rPr>
        <w:t xml:space="preserve">  “ACESSO IDENTIFICADO”</w:t>
      </w:r>
      <w:r>
        <w:rPr>
          <w:rFonts w:hint="default" w:ascii="Calibri" w:hAnsi="Calibri" w:cs="Calibri"/>
          <w:color w:val="000000"/>
          <w:sz w:val="21"/>
          <w:szCs w:val="21"/>
          <w:highlight w:val="none"/>
          <w:u w:val="single"/>
          <w:lang w:val="pt-BR"/>
        </w:rPr>
        <w:t xml:space="preserve"> </w:t>
      </w:r>
      <w:r>
        <w:rPr>
          <w:rFonts w:hint="default" w:ascii="Calibri" w:hAnsi="Calibri" w:eastAsia="SimSun" w:cs="Calibri"/>
          <w:i/>
          <w:iCs/>
          <w:color w:val="000000"/>
          <w:sz w:val="21"/>
          <w:szCs w:val="21"/>
          <w:highlight w:val="none"/>
          <w:lang w:val="pt-BR"/>
        </w:rPr>
        <w:t>Deverão os licitantes ficarem cientes para acompanhamento de eventuais alterações até a data marcada para abertura</w:t>
      </w:r>
    </w:p>
    <w:p w14:paraId="35A82D66">
      <w:pPr>
        <w:jc w:val="center"/>
        <w:rPr>
          <w:rFonts w:hint="default" w:ascii="Calibri" w:hAnsi="Calibri" w:cs="Calibri"/>
          <w:sz w:val="21"/>
          <w:szCs w:val="21"/>
          <w:highlight w:val="yellow"/>
        </w:rPr>
      </w:pPr>
    </w:p>
    <w:p w14:paraId="2C1045E1">
      <w:pPr>
        <w:jc w:val="center"/>
        <w:rPr>
          <w:rFonts w:hint="default" w:ascii="Calibri" w:hAnsi="Calibri" w:cs="Calibri"/>
          <w:sz w:val="21"/>
          <w:szCs w:val="21"/>
          <w:lang w:val="pt-BR"/>
        </w:rPr>
      </w:pPr>
      <w:r>
        <w:rPr>
          <w:rFonts w:hint="default" w:ascii="Calibri" w:hAnsi="Calibri" w:cs="Calibri"/>
          <w:sz w:val="21"/>
          <w:szCs w:val="21"/>
        </w:rPr>
        <w:t>Leme,</w:t>
      </w:r>
      <w:r>
        <w:rPr>
          <w:rFonts w:hint="default" w:ascii="Calibri" w:hAnsi="Calibri" w:cs="Calibri"/>
          <w:sz w:val="21"/>
          <w:szCs w:val="21"/>
          <w:lang w:val="pt-BR"/>
        </w:rPr>
        <w:t xml:space="preserve"> 06 </w:t>
      </w:r>
      <w:r>
        <w:rPr>
          <w:rFonts w:hint="default" w:ascii="Calibri" w:hAnsi="Calibri" w:cs="Calibri"/>
          <w:sz w:val="21"/>
          <w:szCs w:val="21"/>
        </w:rPr>
        <w:t>de</w:t>
      </w:r>
      <w:r>
        <w:rPr>
          <w:rFonts w:hint="default" w:ascii="Calibri" w:hAnsi="Calibri" w:cs="Calibri"/>
          <w:sz w:val="21"/>
          <w:szCs w:val="21"/>
          <w:lang w:val="pt-BR"/>
        </w:rPr>
        <w:t xml:space="preserve"> fevereiro </w:t>
      </w:r>
      <w:r>
        <w:rPr>
          <w:rFonts w:hint="default" w:ascii="Calibri" w:hAnsi="Calibri" w:cs="Calibri"/>
          <w:sz w:val="21"/>
          <w:szCs w:val="21"/>
        </w:rPr>
        <w:t>de 20</w:t>
      </w:r>
      <w:r>
        <w:rPr>
          <w:rFonts w:hint="default" w:ascii="Calibri" w:hAnsi="Calibri" w:cs="Calibri"/>
          <w:sz w:val="21"/>
          <w:szCs w:val="21"/>
          <w:lang w:val="pt-BR"/>
        </w:rPr>
        <w:t>25</w:t>
      </w:r>
    </w:p>
    <w:p w14:paraId="2C34C9A3">
      <w:pPr>
        <w:jc w:val="center"/>
        <w:rPr>
          <w:rFonts w:hint="default" w:ascii="Calibri" w:hAnsi="Calibri" w:cs="Calibri"/>
          <w:sz w:val="21"/>
          <w:szCs w:val="21"/>
        </w:rPr>
      </w:pPr>
    </w:p>
    <w:p w14:paraId="75787676">
      <w:pPr>
        <w:jc w:val="center"/>
        <w:rPr>
          <w:rFonts w:hint="default" w:ascii="Calibri" w:hAnsi="Calibri" w:cs="Calibri"/>
          <w:sz w:val="21"/>
          <w:szCs w:val="21"/>
        </w:rPr>
      </w:pPr>
    </w:p>
    <w:p w14:paraId="2ED3165A">
      <w:pPr>
        <w:jc w:val="center"/>
        <w:rPr>
          <w:rFonts w:hint="default" w:ascii="Calibri" w:hAnsi="Calibri" w:cs="Calibri"/>
          <w:sz w:val="21"/>
          <w:szCs w:val="21"/>
        </w:rPr>
      </w:pPr>
    </w:p>
    <w:p w14:paraId="643D3B96">
      <w:pPr>
        <w:pStyle w:val="131"/>
        <w:widowControl/>
        <w:spacing w:line="300" w:lineRule="atLeast"/>
        <w:jc w:val="center"/>
        <w:rPr>
          <w:rFonts w:hint="default" w:ascii="Calibri" w:hAnsi="Calibri"/>
          <w:b/>
          <w:bCs/>
          <w:sz w:val="20"/>
          <w:szCs w:val="20"/>
          <w:lang w:val="pt-BR"/>
        </w:rPr>
      </w:pPr>
      <w:r>
        <w:rPr>
          <w:rFonts w:hint="default" w:ascii="Calibri" w:hAnsi="Calibri"/>
          <w:b/>
          <w:bCs/>
          <w:sz w:val="20"/>
          <w:szCs w:val="20"/>
          <w:lang w:val="pt-BR"/>
        </w:rPr>
        <w:t>JOSIANE CRISTINA FRANCISCO PIETRO</w:t>
      </w:r>
    </w:p>
    <w:p w14:paraId="237D463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Calibri" w:hAnsi="Calibri"/>
          <w:b w:val="0"/>
          <w:bCs w:val="0"/>
          <w:sz w:val="20"/>
          <w:szCs w:val="20"/>
          <w:lang w:val="pt-BR"/>
        </w:rPr>
      </w:pPr>
      <w:r>
        <w:rPr>
          <w:rFonts w:hint="default" w:ascii="Calibri" w:hAnsi="Calibri"/>
          <w:b w:val="0"/>
          <w:bCs w:val="0"/>
          <w:sz w:val="20"/>
          <w:szCs w:val="20"/>
          <w:lang w:val="pt-BR"/>
        </w:rPr>
        <w:t>SECRETARIA DE ASSISTÊNCIA E DESENVOLVIMENTO SOCIAL</w:t>
      </w:r>
    </w:p>
    <w:p w14:paraId="3BED1A30">
      <w:pPr>
        <w:jc w:val="center"/>
        <w:rPr>
          <w:rFonts w:hint="default" w:ascii="Calibri" w:hAnsi="Calibri" w:cs="Calibri"/>
          <w:b/>
          <w:bCs w:val="0"/>
          <w:sz w:val="21"/>
          <w:szCs w:val="21"/>
          <w:lang w:val="pt-BR"/>
        </w:rPr>
      </w:pPr>
    </w:p>
    <w:p w14:paraId="5A835BC0">
      <w:pPr>
        <w:jc w:val="center"/>
        <w:rPr>
          <w:rFonts w:hint="default" w:ascii="Calibri" w:hAnsi="Calibri" w:cs="Calibri"/>
          <w:b/>
          <w:bCs w:val="0"/>
          <w:sz w:val="21"/>
          <w:szCs w:val="21"/>
          <w:lang w:val="pt-BR"/>
        </w:rPr>
      </w:pPr>
    </w:p>
    <w:p w14:paraId="40B0E41C">
      <w:pPr>
        <w:keepNext w:val="0"/>
        <w:keepLines w:val="0"/>
        <w:pageBreakBefore w:val="0"/>
        <w:kinsoku/>
        <w:wordWrap/>
        <w:overflowPunct/>
        <w:topLinePunct w:val="0"/>
        <w:bidi w:val="0"/>
        <w:adjustRightInd/>
        <w:snapToGrid/>
        <w:spacing w:line="240" w:lineRule="auto"/>
        <w:jc w:val="both"/>
        <w:rPr>
          <w:rFonts w:hint="default" w:ascii="Calibri" w:hAnsi="Calibri" w:cs="Calibri"/>
          <w:b w:val="0"/>
          <w:bCs w:val="0"/>
          <w:sz w:val="22"/>
          <w:szCs w:val="22"/>
          <w:lang w:val="pt-BR"/>
        </w:rPr>
      </w:pPr>
    </w:p>
    <w:sectPr>
      <w:pgSz w:w="11905" w:h="16838"/>
      <w:pgMar w:top="584" w:right="986" w:bottom="1134" w:left="1701" w:header="454" w:footer="0" w:gutter="0"/>
      <w:pgBorders>
        <w:top w:val="none" w:sz="0" w:space="0"/>
        <w:left w:val="none" w:sz="0" w:space="0"/>
        <w:bottom w:val="none" w:sz="0" w:space="0"/>
        <w:right w:val="none" w:sz="0" w:space="0"/>
      </w:pgBorders>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Ecofont_Spranq_eco_Sans">
    <w:altName w:val="Calibri"/>
    <w:panose1 w:val="00000000000000000000"/>
    <w:charset w:val="00"/>
    <w:family w:val="swiss"/>
    <w:pitch w:val="default"/>
    <w:sig w:usb0="00000000" w:usb1="00000000" w:usb2="00000000" w:usb3="00000000" w:csb0="00000001" w:csb1="00000000"/>
  </w:font>
  <w:font w:name="ＭＳ 明朝">
    <w:altName w:val="SimSun"/>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MS Gothic">
    <w:panose1 w:val="020B0609070205080204"/>
    <w:charset w:val="80"/>
    <w:family w:val="auto"/>
    <w:pitch w:val="default"/>
    <w:sig w:usb0="E00002FF" w:usb1="6AC7FDFB" w:usb2="08000012" w:usb3="00000000" w:csb0="4002009F" w:csb1="DFD70000"/>
  </w:font>
  <w:font w:name="WenQuanYi Micro Hei">
    <w:altName w:val="Segoe Print"/>
    <w:panose1 w:val="00000000000000000000"/>
    <w:charset w:val="00"/>
    <w:family w:val="roman"/>
    <w:pitch w:val="default"/>
    <w:sig w:usb0="00000000" w:usb1="00000000" w:usb2="00000000" w:usb3="00000000" w:csb0="00000000" w:csb1="00000000"/>
  </w:font>
  <w:font w:name="Lohit Hindi">
    <w:altName w:val="Times New Roman"/>
    <w:panose1 w:val="00000000000000000000"/>
    <w:charset w:val="00"/>
    <w:family w:val="roman"/>
    <w:pitch w:val="default"/>
    <w:sig w:usb0="00000000" w:usb1="00000000" w:usb2="00000000" w:usb3="00000000" w:csb0="00000000" w:csb1="00000000"/>
  </w:font>
  <w:font w:name="Liberation Serif">
    <w:altName w:val="Segoe Print"/>
    <w:panose1 w:val="02020603050405020304"/>
    <w:charset w:val="01"/>
    <w:family w:val="roman"/>
    <w:pitch w:val="default"/>
    <w:sig w:usb0="00000000" w:usb1="00000000" w:usb2="00000021" w:usb3="00000000" w:csb0="600001BF" w:csb1="DFF70000"/>
  </w:font>
  <w:font w:name="NSimSun">
    <w:panose1 w:val="02010609030101010101"/>
    <w:charset w:val="86"/>
    <w:family w:val="modern"/>
    <w:pitch w:val="default"/>
    <w:sig w:usb0="00000203" w:usb1="288F0000" w:usb2="00000006" w:usb3="00000000" w:csb0="00040001" w:csb1="00000000"/>
  </w:font>
  <w:font w:name="Lucida Sans">
    <w:altName w:val="Lucida Sans Unicode"/>
    <w:panose1 w:val="020B0602030504020204"/>
    <w:charset w:val="00"/>
    <w:family w:val="swiss"/>
    <w:pitch w:val="default"/>
    <w:sig w:usb0="00000000" w:usb1="00000000" w:usb2="00000000" w:usb3="00000000" w:csb0="20000001"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Aptos Narrow">
    <w:altName w:val="Segoe Print"/>
    <w:panose1 w:val="00000000000000000000"/>
    <w:charset w:val="00"/>
    <w:family w:val="auto"/>
    <w:pitch w:val="default"/>
    <w:sig w:usb0="00000000" w:usb1="00000000" w:usb2="00000000" w:usb3="00000000" w:csb0="00000000" w:csb1="00000000"/>
  </w:font>
  <w:font w:name="Arial Nova Cond">
    <w:altName w:val="Arial"/>
    <w:panose1 w:val="020B0506020202020204"/>
    <w:charset w:val="00"/>
    <w:family w:val="auto"/>
    <w:pitch w:val="default"/>
    <w:sig w:usb0="00000000" w:usb1="00000000" w:usb2="00000000" w:usb3="00000000" w:csb0="0000019F" w:csb1="00000000"/>
  </w:font>
  <w:font w:name="Wingdings">
    <w:panose1 w:val="05000000000000000000"/>
    <w:charset w:val="00"/>
    <w:family w:val="auto"/>
    <w:pitch w:val="default"/>
    <w:sig w:usb0="00000000" w:usb1="00000000" w:usb2="00000000" w:usb3="00000000" w:csb0="80000000" w:csb1="00000000"/>
  </w:font>
  <w:font w:name="Zurich BT">
    <w:altName w:val="Segoe Print"/>
    <w:panose1 w:val="00000000000000000000"/>
    <w:charset w:val="00"/>
    <w:family w:val="roman"/>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Arial Black">
    <w:panose1 w:val="020B0A04020102020204"/>
    <w:charset w:val="00"/>
    <w:family w:val="swiss"/>
    <w:pitch w:val="default"/>
    <w:sig w:usb0="A00002AF" w:usb1="400078FB" w:usb2="00000000" w:usb3="00000000" w:csb0="6000009F" w:csb1="DFD70000"/>
  </w:font>
  <w:font w:name="CIDFont + F5">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E9C0B">
    <w:pPr>
      <w:spacing w:after="0" w:line="240" w:lineRule="auto"/>
      <w:jc w:val="right"/>
      <w:rPr>
        <w:rFonts w:ascii="Times New Roman" w:hAnsi="Times New Roman" w:eastAsia="Times New Roman" w:cs="Times New Roman"/>
        <w:sz w:val="24"/>
        <w:szCs w:val="24"/>
        <w:lang w:val="pt-BR" w:eastAsia="pt-BR" w:bidi="ar-SA"/>
      </w:rPr>
    </w:pPr>
    <w:r>
      <w:rPr>
        <w:sz w:val="24"/>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28" name="Caixa de Texto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06647E">
                          <w:pPr>
                            <w:pStyle w:val="22"/>
                            <w:tabs>
                              <w:tab w:val="center" w:pos="4419"/>
                              <w:tab w:val="right" w:pos="8838"/>
                              <w:tab w:val="clear" w:pos="4252"/>
                              <w:tab w:val="clear" w:pos="8504"/>
                            </w:tabs>
                          </w:pPr>
                          <w:r>
                            <w:fldChar w:fldCharType="begin"/>
                          </w:r>
                          <w:r>
                            <w:instrText xml:space="preserve"> PAGE  \* MERGEFORMAT </w:instrText>
                          </w:r>
                          <w:r>
                            <w:fldChar w:fldCharType="separate"/>
                          </w:r>
                          <w:r>
                            <w:t>18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HJryOb4BAACgAwAADgAAAAAAAAABACAAAAAeAQAAZHJzL2Uyb0RvYy54bWxQSwUGAAAA&#10;AAYABgBZAQAATgUAAAAA&#10;">
              <v:fill on="f" focussize="0,0"/>
              <v:stroke on="f"/>
              <v:imagedata o:title=""/>
              <o:lock v:ext="edit" aspectratio="f"/>
              <v:textbox inset="0mm,0mm,0mm,0mm" style="mso-fit-shape-to-text:t;">
                <w:txbxContent>
                  <w:p w14:paraId="6C06647E">
                    <w:pPr>
                      <w:pStyle w:val="22"/>
                      <w:tabs>
                        <w:tab w:val="center" w:pos="4419"/>
                        <w:tab w:val="right" w:pos="8838"/>
                        <w:tab w:val="clear" w:pos="4252"/>
                        <w:tab w:val="clear" w:pos="8504"/>
                      </w:tabs>
                    </w:pPr>
                    <w:r>
                      <w:fldChar w:fldCharType="begin"/>
                    </w:r>
                    <w:r>
                      <w:instrText xml:space="preserve"> PAGE  \* MERGEFORMAT </w:instrText>
                    </w:r>
                    <w:r>
                      <w:fldChar w:fldCharType="separate"/>
                    </w:r>
                    <w:r>
                      <w:t>18</w:t>
                    </w:r>
                    <w:r>
                      <w:fldChar w:fldCharType="end"/>
                    </w:r>
                  </w:p>
                </w:txbxContent>
              </v:textbox>
            </v:shape>
          </w:pict>
        </mc:Fallback>
      </mc:AlternateContent>
    </w:r>
  </w:p>
  <w:p w14:paraId="1CF52D23">
    <w:pPr>
      <w:pStyle w:val="20"/>
      <w:tabs>
        <w:tab w:val="center" w:pos="4419"/>
        <w:tab w:val="right" w:pos="8838"/>
        <w:tab w:val="clear" w:pos="4252"/>
        <w:tab w:val="clear" w:pos="8504"/>
      </w:tabs>
      <w:spacing w:line="240" w:lineRule="auto"/>
      <w:jc w:val="center"/>
      <w:rPr>
        <w:rFonts w:hint="default" w:ascii="Calibri" w:hAnsi="Calibri" w:cs="Calibri"/>
        <w:color w:val="00427E"/>
        <w:sz w:val="18"/>
      </w:rPr>
    </w:pPr>
    <w:r>
      <w:rPr>
        <w:rFonts w:ascii="Arial" w:hAnsi="Arial" w:eastAsia="Calibri" w:cs="Arial"/>
        <w:color w:val="00427E"/>
        <w:sz w:val="18"/>
        <w:szCs w:val="24"/>
        <w:lang w:val="pt-BR" w:eastAsia="pt-BR" w:bidi="ar-SA"/>
      </w:rPr>
      <w:t xml:space="preserve"> </w:t>
    </w:r>
    <w:r>
      <w:rPr>
        <w:rFonts w:hint="default" w:ascii="Calibri" w:hAnsi="Calibri" w:cs="Calibri"/>
        <w:color w:val="00427E"/>
        <w:sz w:val="18"/>
        <w:lang w:val="pt-BR"/>
      </w:rPr>
      <w:t>Rua Dr. Armando Salles de Oliveira</w:t>
    </w:r>
    <w:r>
      <w:rPr>
        <w:rFonts w:hint="default" w:ascii="Calibri" w:hAnsi="Calibri" w:cs="Calibri"/>
        <w:color w:val="00427E"/>
        <w:sz w:val="18"/>
      </w:rPr>
      <w:t xml:space="preserve">, </w:t>
    </w:r>
    <w:r>
      <w:rPr>
        <w:rFonts w:hint="default" w:ascii="Calibri" w:hAnsi="Calibri" w:cs="Calibri"/>
        <w:color w:val="00427E"/>
        <w:sz w:val="18"/>
        <w:lang w:val="pt-BR"/>
      </w:rPr>
      <w:t>1.085</w:t>
    </w:r>
    <w:r>
      <w:rPr>
        <w:rFonts w:hint="default" w:ascii="Calibri" w:hAnsi="Calibri" w:cs="Calibri"/>
        <w:color w:val="00427E"/>
        <w:sz w:val="18"/>
      </w:rPr>
      <w:t xml:space="preserve">  • </w:t>
    </w:r>
    <w:r>
      <w:rPr>
        <w:rFonts w:hint="default" w:ascii="Calibri" w:hAnsi="Calibri" w:cs="Calibri"/>
        <w:color w:val="00427E"/>
        <w:sz w:val="18"/>
        <w:lang w:val="pt-BR"/>
      </w:rPr>
      <w:t>3º Andar</w:t>
    </w:r>
    <w:r>
      <w:rPr>
        <w:rFonts w:hint="default" w:ascii="Calibri" w:hAnsi="Calibri" w:cs="Calibri"/>
        <w:color w:val="00427E"/>
        <w:sz w:val="18"/>
      </w:rPr>
      <w:t xml:space="preserve"> •</w:t>
    </w:r>
    <w:r>
      <w:rPr>
        <w:rFonts w:hint="default" w:ascii="Calibri" w:hAnsi="Calibri" w:cs="Calibri"/>
        <w:color w:val="00427E"/>
        <w:sz w:val="18"/>
        <w:lang w:val="pt-BR"/>
      </w:rPr>
      <w:t xml:space="preserve"> </w:t>
    </w:r>
    <w:r>
      <w:rPr>
        <w:rFonts w:hint="default" w:ascii="Calibri" w:hAnsi="Calibri" w:cs="Calibri"/>
        <w:color w:val="00427E"/>
        <w:sz w:val="18"/>
      </w:rPr>
      <w:t>Centro  •  CEP 13610-</w:t>
    </w:r>
    <w:r>
      <w:rPr>
        <w:rFonts w:hint="default" w:ascii="Calibri" w:hAnsi="Calibri" w:cs="Calibri"/>
        <w:color w:val="00427E"/>
        <w:sz w:val="18"/>
        <w:lang w:val="pt-BR"/>
      </w:rPr>
      <w:t>220</w:t>
    </w:r>
    <w:r>
      <w:rPr>
        <w:rFonts w:hint="default" w:ascii="Calibri" w:hAnsi="Calibri" w:cs="Calibri"/>
        <w:color w:val="00427E"/>
        <w:sz w:val="18"/>
      </w:rPr>
      <w:t xml:space="preserve">  •  Leme  •  SP  •</w:t>
    </w:r>
  </w:p>
  <w:p w14:paraId="13E00647">
    <w:pPr>
      <w:tabs>
        <w:tab w:val="center" w:pos="4419"/>
        <w:tab w:val="right" w:pos="8838"/>
      </w:tabs>
      <w:spacing w:after="0" w:line="480" w:lineRule="auto"/>
      <w:jc w:val="center"/>
      <w:rPr>
        <w:rFonts w:ascii="Calibri" w:hAnsi="Calibri" w:eastAsia="Calibri" w:cs="Times New Roman"/>
        <w:sz w:val="22"/>
        <w:szCs w:val="22"/>
        <w:lang w:val="pt-BR" w:eastAsia="en-US" w:bidi="ar-SA"/>
      </w:rPr>
    </w:pPr>
    <w:r>
      <w:rPr>
        <w:rFonts w:hint="default" w:ascii="Calibri" w:hAnsi="Calibri" w:cs="Calibri"/>
        <w:color w:val="00427E"/>
        <w:sz w:val="18"/>
      </w:rPr>
      <w:t>CNPJ: 46.362.661/0001-</w:t>
    </w:r>
    <w:r>
      <w:rPr>
        <w:rFonts w:hint="default" w:ascii="Calibri" w:hAnsi="Calibri" w:cs="Calibri"/>
        <w:color w:val="00427E"/>
        <w:sz w:val="18"/>
        <w:lang w:val="pt-BR"/>
      </w:rPr>
      <w:t>6</w:t>
    </w:r>
    <w:r>
      <w:rPr>
        <w:rFonts w:hint="default" w:ascii="Calibri" w:hAnsi="Calibri" w:cs="Calibri"/>
        <w:color w:val="00427E"/>
        <w:sz w:val="18"/>
      </w:rPr>
      <w:t>8</w:t>
    </w:r>
    <w:r>
      <w:rPr>
        <w:rFonts w:hint="default" w:ascii="Calibri" w:hAnsi="Calibri" w:cs="Calibri"/>
        <w:color w:val="00427E"/>
        <w:sz w:val="18"/>
        <w:lang w:val="pt-BR"/>
      </w:rPr>
      <w:t xml:space="preserve"> </w:t>
    </w:r>
    <w:r>
      <w:rPr>
        <w:rFonts w:hint="default" w:ascii="Calibri" w:hAnsi="Calibri" w:cs="Calibri"/>
        <w:color w:val="00427E"/>
        <w:sz w:val="18"/>
      </w:rPr>
      <w:t xml:space="preserve">•    licitacao@leme.sp.gov.br    •    </w:t>
    </w:r>
    <w:r>
      <w:rPr>
        <w:rFonts w:hint="default" w:ascii="Calibri" w:hAnsi="Calibri" w:cs="Calibri"/>
        <w:b/>
        <w:color w:val="00427E"/>
        <w:sz w:val="18"/>
      </w:rPr>
      <w:fldChar w:fldCharType="begin"/>
    </w:r>
    <w:r>
      <w:rPr>
        <w:rFonts w:hint="default" w:ascii="Calibri" w:hAnsi="Calibri" w:cs="Calibri"/>
        <w:b/>
        <w:color w:val="00427E"/>
        <w:sz w:val="18"/>
      </w:rPr>
      <w:instrText xml:space="preserve"> HYPERLINK "http://www.leme.sp.gov.br" </w:instrText>
    </w:r>
    <w:r>
      <w:rPr>
        <w:rFonts w:hint="default" w:ascii="Calibri" w:hAnsi="Calibri" w:cs="Calibri"/>
        <w:b/>
        <w:color w:val="00427E"/>
        <w:sz w:val="18"/>
      </w:rPr>
      <w:fldChar w:fldCharType="separate"/>
    </w:r>
    <w:r>
      <w:rPr>
        <w:rStyle w:val="13"/>
        <w:rFonts w:hint="default" w:ascii="Calibri" w:hAnsi="Calibri" w:cs="Calibri"/>
        <w:b/>
        <w:color w:val="00427E"/>
        <w:sz w:val="18"/>
      </w:rPr>
      <w:t>www.leme.sp.gov.br</w:t>
    </w:r>
    <w:r>
      <w:rPr>
        <w:rFonts w:hint="default" w:ascii="Calibri" w:hAnsi="Calibri" w:cs="Calibri"/>
        <w:b/>
        <w:color w:val="00427E"/>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6111550"/>
      <w:docPartObj>
        <w:docPartGallery w:val="autotext"/>
      </w:docPartObj>
    </w:sdtPr>
    <w:sdtEndPr>
      <w:rPr>
        <w:rFonts w:ascii="Arial" w:hAnsi="Arial" w:cs="Arial"/>
        <w:sz w:val="14"/>
        <w:szCs w:val="14"/>
      </w:rPr>
    </w:sdtEndPr>
    <w:sdtContent>
      <w:p w14:paraId="256D4B76">
        <w:pPr>
          <w:pStyle w:val="20"/>
          <w:tabs>
            <w:tab w:val="center" w:pos="4419"/>
            <w:tab w:val="right" w:pos="8838"/>
            <w:tab w:val="clear" w:pos="4252"/>
            <w:tab w:val="clear" w:pos="8504"/>
          </w:tabs>
          <w:jc w:val="center"/>
          <w:rPr>
            <w:rFonts w:hint="default" w:ascii="Calibri" w:hAnsi="Calibri" w:cs="Calibri"/>
            <w:color w:val="00427E"/>
            <w:sz w:val="18"/>
            <w:lang w:val="pt-BR"/>
          </w:rPr>
        </w:pPr>
        <w:r>
          <w:rPr>
            <w:color w:val="558ED5" w:themeColor="text2" w:themeTint="99"/>
            <w:spacing w:val="60"/>
            <w:sz w:val="22"/>
            <w:szCs w:val="22"/>
            <w14:textFill>
              <w14:solidFill>
                <w14:schemeClr w14:val="tx2">
                  <w14:lumMod w14:val="60000"/>
                  <w14:lumOff w14:val="40000"/>
                </w14:schemeClr>
              </w14:solidFill>
            </w14:textFill>
          </w:rPr>
          <w:tab/>
        </w:r>
        <w:r>
          <w:rPr>
            <w:rFonts w:ascii="Calibri" w:hAnsi="Calibri" w:cs="Calibri"/>
            <w:color w:val="00427E"/>
            <w:sz w:val="18"/>
          </w:rPr>
          <w:t xml:space="preserve">Rua Dr. Armando de Salles de Oliveira, 1.085  •  </w:t>
        </w:r>
        <w:r>
          <w:rPr>
            <w:rFonts w:hint="default" w:ascii="Calibri" w:hAnsi="Calibri" w:cs="Calibri"/>
            <w:color w:val="00427E"/>
            <w:sz w:val="18"/>
            <w:lang w:val="pt-BR"/>
          </w:rPr>
          <w:t xml:space="preserve">3º andar </w:t>
        </w:r>
        <w:r>
          <w:rPr>
            <w:rFonts w:ascii="Calibri" w:hAnsi="Calibri" w:cs="Calibri"/>
            <w:color w:val="00427E"/>
            <w:sz w:val="18"/>
          </w:rPr>
          <w:t>•</w:t>
        </w:r>
        <w:r>
          <w:rPr>
            <w:rFonts w:hint="default" w:ascii="Calibri" w:hAnsi="Calibri" w:cs="Calibri"/>
            <w:color w:val="00427E"/>
            <w:sz w:val="18"/>
            <w:lang w:val="pt-BR"/>
          </w:rPr>
          <w:t xml:space="preserve"> </w:t>
        </w:r>
        <w:r>
          <w:rPr>
            <w:rFonts w:ascii="Calibri" w:hAnsi="Calibri" w:cs="Calibri"/>
            <w:color w:val="00427E"/>
            <w:sz w:val="18"/>
          </w:rPr>
          <w:t>Centro  •  CEP 13610-220  •  Leme  •  SP  •</w:t>
        </w:r>
        <w:r>
          <w:rPr>
            <w:rFonts w:hint="default" w:ascii="Calibri" w:hAnsi="Calibri" w:cs="Calibri"/>
            <w:color w:val="00427E"/>
            <w:sz w:val="18"/>
            <w:lang w:val="pt-BR"/>
          </w:rPr>
          <w:t xml:space="preserve"> fone (19)3097-1000</w:t>
        </w:r>
        <w:r>
          <w:rPr>
            <w:rFonts w:ascii="Calibri" w:hAnsi="Calibri" w:cs="Calibri"/>
            <w:color w:val="00427E"/>
            <w:sz w:val="18"/>
          </w:rPr>
          <w:t>•</w:t>
        </w:r>
      </w:p>
      <w:p w14:paraId="66676117">
        <w:pPr>
          <w:pStyle w:val="22"/>
          <w:jc w:val="center"/>
          <w:rPr>
            <w:color w:val="558ED5" w:themeColor="text2" w:themeTint="99"/>
            <w:spacing w:val="60"/>
            <w:sz w:val="16"/>
            <w:szCs w:val="16"/>
            <w14:textFill>
              <w14:solidFill>
                <w14:schemeClr w14:val="tx2">
                  <w14:lumMod w14:val="60000"/>
                  <w14:lumOff w14:val="40000"/>
                </w14:schemeClr>
              </w14:solidFill>
            </w14:textFill>
          </w:rPr>
        </w:pPr>
        <w:r>
          <w:rPr>
            <w:sz w:val="18"/>
          </w:rPr>
          <mc:AlternateContent>
            <mc:Choice Requires="wps">
              <w:drawing>
                <wp:anchor distT="0" distB="0" distL="114300" distR="114300" simplePos="0" relativeHeight="251662336" behindDoc="0" locked="0" layoutInCell="1" allowOverlap="1">
                  <wp:simplePos x="0" y="0"/>
                  <wp:positionH relativeFrom="margin">
                    <wp:posOffset>5632450</wp:posOffset>
                  </wp:positionH>
                  <wp:positionV relativeFrom="paragraph">
                    <wp:posOffset>32385</wp:posOffset>
                  </wp:positionV>
                  <wp:extent cx="1828800" cy="1828800"/>
                  <wp:effectExtent l="0" t="0" r="0" b="0"/>
                  <wp:wrapNone/>
                  <wp:docPr id="4" name="Caixa de Texto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FE6624">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3.5pt;margin-top:2.55pt;height:144pt;width:144pt;mso-position-horizontal-relative:margin;mso-wrap-style:none;z-index:251662336;mso-width-relative:page;mso-height-relative:page;" filled="f" stroked="f" coordsize="21600,21600" o:gfxdata="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USo/XAAAACgEAAA8AAAAAAAAAAQAgAAAAIgAAAGRycy9kb3ducmV2LnhtbFBLAQIUABQAAAAI&#10;AIdO4kCBbGtuJwIAAGYEAAAOAAAAAAAAAAEAIAAAACYBAABkcnMvZTJvRG9jLnhtbFBLBQYAAAAA&#10;BgAGAFkBAAC/BQAAAAA=&#10;">
                  <v:fill on="f" focussize="0,0"/>
                  <v:stroke on="f" weight="0.5pt"/>
                  <v:imagedata o:title=""/>
                  <o:lock v:ext="edit" aspectratio="f"/>
                  <v:textbox inset="0mm,0mm,0mm,0mm" style="mso-fit-shape-to-text:t;">
                    <w:txbxContent>
                      <w:p w14:paraId="3CFE6624">
                        <w:pPr>
                          <w:pStyle w:val="22"/>
                        </w:pPr>
                        <w:r>
                          <w:fldChar w:fldCharType="begin"/>
                        </w:r>
                        <w:r>
                          <w:instrText xml:space="preserve"> PAGE  \* MERGEFORMAT </w:instrText>
                        </w:r>
                        <w:r>
                          <w:fldChar w:fldCharType="separate"/>
                        </w:r>
                        <w:r>
                          <w:t>1</w:t>
                        </w:r>
                        <w:r>
                          <w:fldChar w:fldCharType="end"/>
                        </w:r>
                      </w:p>
                    </w:txbxContent>
                  </v:textbox>
                </v:shape>
              </w:pict>
            </mc:Fallback>
          </mc:AlternateContent>
        </w:r>
        <w:r>
          <w:rPr>
            <w:rFonts w:ascii="Calibri" w:hAnsi="Calibri" w:cs="Calibri"/>
            <w:color w:val="00427E"/>
            <w:sz w:val="18"/>
          </w:rPr>
          <w:t xml:space="preserve">CNPJ: 46.362.661/0001-68 • </w:t>
        </w:r>
        <w:r>
          <w:rPr>
            <w:rFonts w:hint="default" w:ascii="Calibri" w:hAnsi="Calibri" w:cs="Calibri"/>
            <w:color w:val="00427E"/>
            <w:sz w:val="18"/>
            <w:lang w:val="pt-BR"/>
          </w:rPr>
          <w:fldChar w:fldCharType="begin"/>
        </w:r>
        <w:r>
          <w:rPr>
            <w:rFonts w:hint="default" w:ascii="Calibri" w:hAnsi="Calibri" w:cs="Calibri"/>
            <w:color w:val="00427E"/>
            <w:sz w:val="18"/>
            <w:lang w:val="pt-BR"/>
          </w:rPr>
          <w:instrText xml:space="preserve"> HYPERLINK "mailto:licitacao@leme.sp.gov.br" </w:instrText>
        </w:r>
        <w:r>
          <w:rPr>
            <w:rFonts w:hint="default" w:ascii="Calibri" w:hAnsi="Calibri" w:cs="Calibri"/>
            <w:color w:val="00427E"/>
            <w:sz w:val="18"/>
            <w:lang w:val="pt-BR"/>
          </w:rPr>
          <w:fldChar w:fldCharType="separate"/>
        </w:r>
        <w:r>
          <w:rPr>
            <w:rStyle w:val="13"/>
            <w:rFonts w:hint="default" w:ascii="Calibri" w:hAnsi="Calibri" w:cs="Calibri"/>
            <w:color w:val="00427E"/>
            <w:sz w:val="18"/>
            <w:lang w:val="pt-BR"/>
          </w:rPr>
          <w:t>licitacao@leme.sp.gov.br</w:t>
        </w:r>
        <w:r>
          <w:rPr>
            <w:rFonts w:hint="default" w:ascii="Calibri" w:hAnsi="Calibri" w:cs="Calibri"/>
            <w:color w:val="00427E"/>
            <w:sz w:val="18"/>
            <w:lang w:val="pt-BR"/>
          </w:rPr>
          <w:fldChar w:fldCharType="end"/>
        </w:r>
        <w:r>
          <w:rPr>
            <w:rFonts w:hint="default" w:ascii="Calibri" w:hAnsi="Calibri" w:cs="Calibri"/>
            <w:color w:val="00427E"/>
            <w:sz w:val="18"/>
            <w:lang w:val="pt-BR"/>
          </w:rPr>
          <w:t xml:space="preserve"> </w:t>
        </w:r>
        <w:r>
          <w:rPr>
            <w:rFonts w:ascii="Calibri" w:hAnsi="Calibri" w:cs="Calibri"/>
            <w:color w:val="00427E"/>
            <w:sz w:val="18"/>
          </w:rPr>
          <w:t>•</w:t>
        </w:r>
        <w:r>
          <w:fldChar w:fldCharType="begin"/>
        </w:r>
        <w:r>
          <w:instrText xml:space="preserve"> HYPERLINK "http://www.leme.sp.gov.br" </w:instrText>
        </w:r>
        <w:r>
          <w:fldChar w:fldCharType="separate"/>
        </w:r>
        <w:r>
          <w:rPr>
            <w:rStyle w:val="13"/>
            <w:rFonts w:ascii="Calibri" w:hAnsi="Calibri" w:cs="Calibri"/>
            <w:b/>
            <w:color w:val="00427E"/>
            <w:sz w:val="18"/>
          </w:rPr>
          <w:t>www.leme.sp.gov.br</w:t>
        </w:r>
        <w:r>
          <w:rPr>
            <w:rStyle w:val="13"/>
            <w:rFonts w:ascii="Calibri" w:hAnsi="Calibri" w:cs="Calibri"/>
            <w:b/>
            <w:color w:val="00427E"/>
            <w:sz w:val="18"/>
          </w:rPr>
          <w:fldChar w:fldCharType="end"/>
        </w:r>
      </w:p>
      <w:p w14:paraId="34B6C580">
        <w:pPr>
          <w:pStyle w:val="22"/>
          <w:jc w:val="center"/>
          <w:rPr>
            <w:rFonts w:ascii="Arial" w:hAnsi="Arial" w:cs="Arial"/>
            <w:color w:val="808080" w:themeColor="text1" w:themeTint="80"/>
            <w:sz w:val="18"/>
            <w:szCs w:val="18"/>
            <w14:textFill>
              <w14:solidFill>
                <w14:schemeClr w14:val="tx1">
                  <w14:lumMod w14:val="50000"/>
                  <w14:lumOff w14:val="50000"/>
                </w14:schemeClr>
              </w14:solidFill>
            </w14:textFill>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117F4">
    <w:pPr>
      <w:pStyle w:val="20"/>
      <w:tabs>
        <w:tab w:val="center" w:pos="4419"/>
        <w:tab w:val="right" w:pos="8838"/>
        <w:tab w:val="clear" w:pos="4252"/>
        <w:tab w:val="clear" w:pos="8504"/>
      </w:tabs>
      <w:jc w:val="center"/>
      <w:rPr>
        <w:rFonts w:hint="default" w:ascii="Calibri" w:hAnsi="Calibri" w:cs="Calibri"/>
        <w:color w:val="00427E"/>
        <w:sz w:val="18"/>
        <w:lang w:val="pt-BR"/>
      </w:rPr>
    </w:pPr>
    <w:r>
      <w:rPr>
        <w:rFonts w:ascii="Calibri" w:hAnsi="Calibri" w:cs="Calibri"/>
        <w:color w:val="00427E"/>
        <w:sz w:val="18"/>
      </w:rPr>
      <w:t xml:space="preserve">Rua Dr. Armando de Salles de Oliveira, 1.085  •  </w:t>
    </w:r>
    <w:r>
      <w:rPr>
        <w:rFonts w:hint="default" w:ascii="Calibri" w:hAnsi="Calibri" w:cs="Calibri"/>
        <w:color w:val="00427E"/>
        <w:sz w:val="18"/>
        <w:lang w:val="pt-BR"/>
      </w:rPr>
      <w:t xml:space="preserve">3º andar </w:t>
    </w:r>
    <w:r>
      <w:rPr>
        <w:rFonts w:ascii="Calibri" w:hAnsi="Calibri" w:cs="Calibri"/>
        <w:color w:val="00427E"/>
        <w:sz w:val="18"/>
      </w:rPr>
      <w:t>•</w:t>
    </w:r>
    <w:r>
      <w:rPr>
        <w:rFonts w:hint="default" w:ascii="Calibri" w:hAnsi="Calibri" w:cs="Calibri"/>
        <w:color w:val="00427E"/>
        <w:sz w:val="18"/>
        <w:lang w:val="pt-BR"/>
      </w:rPr>
      <w:t xml:space="preserve"> </w:t>
    </w:r>
    <w:r>
      <w:rPr>
        <w:rFonts w:ascii="Calibri" w:hAnsi="Calibri" w:cs="Calibri"/>
        <w:color w:val="00427E"/>
        <w:sz w:val="18"/>
      </w:rPr>
      <w:t>Centro  •  CEP 13610-220  •  Leme  •  SP  •</w:t>
    </w:r>
    <w:r>
      <w:rPr>
        <w:rFonts w:hint="default" w:ascii="Calibri" w:hAnsi="Calibri" w:cs="Calibri"/>
        <w:color w:val="00427E"/>
        <w:sz w:val="18"/>
        <w:lang w:val="pt-BR"/>
      </w:rPr>
      <w:t xml:space="preserve"> fone (19)3097-1000</w:t>
    </w:r>
    <w:r>
      <w:rPr>
        <w:rFonts w:ascii="Calibri" w:hAnsi="Calibri" w:cs="Calibri"/>
        <w:color w:val="00427E"/>
        <w:sz w:val="18"/>
      </w:rPr>
      <w:t>•</w:t>
    </w:r>
  </w:p>
  <w:p w14:paraId="7A745A97">
    <w:pPr>
      <w:pStyle w:val="22"/>
      <w:jc w:val="center"/>
      <w:rPr>
        <w:rStyle w:val="13"/>
        <w:rFonts w:hint="default" w:ascii="Calibri" w:hAnsi="Calibri" w:cs="Calibri"/>
        <w:b/>
        <w:color w:val="00427E"/>
        <w:sz w:val="18"/>
        <w:lang w:val="pt-BR"/>
      </w:rPr>
    </w:pPr>
    <w:r>
      <w:rPr>
        <w:sz w:val="18"/>
      </w:rPr>
      <mc:AlternateContent>
        <mc:Choice Requires="wps">
          <w:drawing>
            <wp:anchor distT="0" distB="0" distL="114300" distR="114300" simplePos="0" relativeHeight="251661312" behindDoc="0" locked="0" layoutInCell="1" allowOverlap="1">
              <wp:simplePos x="0" y="0"/>
              <wp:positionH relativeFrom="margin">
                <wp:posOffset>5632450</wp:posOffset>
              </wp:positionH>
              <wp:positionV relativeFrom="paragraph">
                <wp:posOffset>38735</wp:posOffset>
              </wp:positionV>
              <wp:extent cx="1828800" cy="182880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59249">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3.5pt;margin-top:3.05pt;height:144pt;width:144pt;mso-position-horizontal-relative:margin;mso-wrap-style:none;z-index:251661312;mso-width-relative:page;mso-height-relative:page;" filled="f" stroked="f" coordsize="21600,21600" o:gfxdata="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culb3XAAAACgEAAA8AAAAAAAAAAQAgAAAAIgAAAGRycy9kb3ducmV2LnhtbFBLAQIUABQAAAAI&#10;AIdO4kAEdRZDJwIAAGYEAAAOAAAAAAAAAAEAIAAAACYBAABkcnMvZTJvRG9jLnhtbFBLBQYAAAAA&#10;BgAGAFkBAAC/BQAAAAA=&#10;">
              <v:fill on="f" focussize="0,0"/>
              <v:stroke on="f" weight="0.5pt"/>
              <v:imagedata o:title=""/>
              <o:lock v:ext="edit" aspectratio="f"/>
              <v:textbox inset="0mm,0mm,0mm,0mm" style="mso-fit-shape-to-text:t;">
                <w:txbxContent>
                  <w:p w14:paraId="22759249">
                    <w:pPr>
                      <w:pStyle w:val="22"/>
                    </w:pPr>
                    <w:r>
                      <w:fldChar w:fldCharType="begin"/>
                    </w:r>
                    <w:r>
                      <w:instrText xml:space="preserve"> PAGE  \* MERGEFORMAT </w:instrText>
                    </w:r>
                    <w:r>
                      <w:fldChar w:fldCharType="separate"/>
                    </w:r>
                    <w:r>
                      <w:t>1</w:t>
                    </w:r>
                    <w:r>
                      <w:fldChar w:fldCharType="end"/>
                    </w:r>
                  </w:p>
                </w:txbxContent>
              </v:textbox>
            </v:shape>
          </w:pict>
        </mc:Fallback>
      </mc:AlternateContent>
    </w:r>
    <w:r>
      <w:rPr>
        <w:rFonts w:ascii="Calibri" w:hAnsi="Calibri" w:cs="Calibri"/>
        <w:color w:val="00427E"/>
        <w:sz w:val="18"/>
      </w:rPr>
      <w:t xml:space="preserve">CNPJ: 46.362.661/0001-68 • </w:t>
    </w:r>
    <w:r>
      <w:rPr>
        <w:rFonts w:hint="default" w:ascii="Calibri" w:hAnsi="Calibri" w:cs="Calibri"/>
        <w:color w:val="00427E"/>
        <w:sz w:val="18"/>
        <w:lang w:val="pt-BR"/>
      </w:rPr>
      <w:fldChar w:fldCharType="begin"/>
    </w:r>
    <w:r>
      <w:rPr>
        <w:rFonts w:hint="default" w:ascii="Calibri" w:hAnsi="Calibri" w:cs="Calibri"/>
        <w:color w:val="00427E"/>
        <w:sz w:val="18"/>
        <w:lang w:val="pt-BR"/>
      </w:rPr>
      <w:instrText xml:space="preserve"> HYPERLINK "mailto:licitacao@leme.sp.gov.br" </w:instrText>
    </w:r>
    <w:r>
      <w:rPr>
        <w:rFonts w:hint="default" w:ascii="Calibri" w:hAnsi="Calibri" w:cs="Calibri"/>
        <w:color w:val="00427E"/>
        <w:sz w:val="18"/>
        <w:lang w:val="pt-BR"/>
      </w:rPr>
      <w:fldChar w:fldCharType="separate"/>
    </w:r>
    <w:r>
      <w:rPr>
        <w:rStyle w:val="13"/>
        <w:rFonts w:hint="default" w:ascii="Calibri" w:hAnsi="Calibri" w:cs="Calibri"/>
        <w:color w:val="00427E"/>
        <w:sz w:val="18"/>
        <w:lang w:val="pt-BR"/>
      </w:rPr>
      <w:t>licitacao@leme.sp.gov.br</w:t>
    </w:r>
    <w:r>
      <w:rPr>
        <w:rFonts w:hint="default" w:ascii="Calibri" w:hAnsi="Calibri" w:cs="Calibri"/>
        <w:color w:val="00427E"/>
        <w:sz w:val="18"/>
        <w:lang w:val="pt-BR"/>
      </w:rPr>
      <w:fldChar w:fldCharType="end"/>
    </w:r>
    <w:r>
      <w:rPr>
        <w:rFonts w:hint="default" w:ascii="Calibri" w:hAnsi="Calibri" w:cs="Calibri"/>
        <w:color w:val="00427E"/>
        <w:sz w:val="18"/>
        <w:lang w:val="pt-BR"/>
      </w:rPr>
      <w:t xml:space="preserve"> </w:t>
    </w:r>
    <w:r>
      <w:rPr>
        <w:rFonts w:ascii="Calibri" w:hAnsi="Calibri" w:cs="Calibri"/>
        <w:color w:val="00427E"/>
        <w:sz w:val="18"/>
      </w:rPr>
      <w:t>•</w:t>
    </w:r>
    <w:r>
      <w:fldChar w:fldCharType="begin"/>
    </w:r>
    <w:r>
      <w:instrText xml:space="preserve"> HYPERLINK "http://www.leme.sp.gov.br" </w:instrText>
    </w:r>
    <w:r>
      <w:fldChar w:fldCharType="separate"/>
    </w:r>
    <w:r>
      <w:rPr>
        <w:rStyle w:val="13"/>
        <w:rFonts w:ascii="Calibri" w:hAnsi="Calibri" w:cs="Calibri"/>
        <w:b/>
        <w:color w:val="00427E"/>
        <w:sz w:val="18"/>
      </w:rPr>
      <w:t>www.leme.sp.gov.br</w:t>
    </w:r>
    <w:r>
      <w:rPr>
        <w:rStyle w:val="13"/>
        <w:rFonts w:ascii="Calibri" w:hAnsi="Calibri" w:cs="Calibri"/>
        <w:b/>
        <w:color w:val="00427E"/>
        <w:sz w:val="18"/>
      </w:rPr>
      <w:fldChar w:fldCharType="end"/>
    </w:r>
    <w:r>
      <w:rPr>
        <w:rStyle w:val="13"/>
        <w:rFonts w:hint="default" w:ascii="Calibri" w:hAnsi="Calibri" w:cs="Calibri"/>
        <w:b/>
        <w:color w:val="00427E"/>
        <w:sz w:val="18"/>
        <w:lang w:val="pt-BR"/>
      </w:rPr>
      <w:t xml:space="preserve"> </w:t>
    </w:r>
  </w:p>
  <w:p w14:paraId="607865B8">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7F282">
    <w:pPr>
      <w:suppressAutoHyphens/>
      <w:spacing w:after="0" w:line="240" w:lineRule="auto"/>
      <w:jc w:val="center"/>
      <w:rPr>
        <w:rFonts w:ascii="Arial Black" w:hAnsi="Arial Black" w:eastAsia="Times New Roman" w:cs="Times New Roman"/>
        <w:sz w:val="18"/>
        <w:szCs w:val="18"/>
        <w:lang w:val="pt-BR" w:eastAsia="ar-SA" w:bidi="ar-SA"/>
      </w:rPr>
    </w:pPr>
  </w:p>
  <w:p w14:paraId="075523EC">
    <w:pPr>
      <w:suppressAutoHyphens/>
      <w:spacing w:after="0" w:line="240" w:lineRule="auto"/>
      <w:jc w:val="center"/>
      <w:rPr>
        <w:rFonts w:ascii="Arial Black" w:hAnsi="Arial Black" w:eastAsia="Times New Roman" w:cs="Times New Roman"/>
        <w:sz w:val="26"/>
        <w:szCs w:val="20"/>
        <w:lang w:val="pt-BR" w:eastAsia="ar-SA" w:bidi="ar-SA"/>
      </w:rPr>
    </w:pPr>
    <w:r>
      <w:rPr>
        <w:rFonts w:ascii="Calibri" w:hAnsi="Calibri" w:eastAsia="Calibri" w:cs="Times New Roman"/>
        <w:b/>
        <w:color w:val="00427E"/>
        <w:sz w:val="18"/>
        <w:szCs w:val="24"/>
        <w:lang w:eastAsia="pt-BR"/>
      </w:rPr>
      <w:drawing>
        <wp:anchor distT="0" distB="0" distL="114300" distR="114300" simplePos="0" relativeHeight="251663360" behindDoc="1" locked="0" layoutInCell="1" allowOverlap="1">
          <wp:simplePos x="0" y="0"/>
          <wp:positionH relativeFrom="column">
            <wp:posOffset>163195</wp:posOffset>
          </wp:positionH>
          <wp:positionV relativeFrom="paragraph">
            <wp:posOffset>15240</wp:posOffset>
          </wp:positionV>
          <wp:extent cx="873760" cy="951230"/>
          <wp:effectExtent l="0" t="0" r="2540" b="1270"/>
          <wp:wrapNone/>
          <wp:docPr id="22" name="Imagem 3" descr="brasão_p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3" descr="brasão_pref"/>
                  <pic:cNvPicPr>
                    <a:picLocks noChangeAspect="1"/>
                  </pic:cNvPicPr>
                </pic:nvPicPr>
                <pic:blipFill>
                  <a:blip r:embed="rId1"/>
                  <a:stretch>
                    <a:fillRect/>
                  </a:stretch>
                </pic:blipFill>
                <pic:spPr>
                  <a:xfrm>
                    <a:off x="0" y="0"/>
                    <a:ext cx="873760" cy="951230"/>
                  </a:xfrm>
                  <a:prstGeom prst="rect">
                    <a:avLst/>
                  </a:prstGeom>
                  <a:noFill/>
                  <a:ln>
                    <a:noFill/>
                  </a:ln>
                </pic:spPr>
              </pic:pic>
            </a:graphicData>
          </a:graphic>
        </wp:anchor>
      </w:drawing>
    </w:r>
    <w:r>
      <w:rPr>
        <w:rFonts w:ascii="Arial Black" w:hAnsi="Arial Black" w:eastAsia="Times New Roman" w:cs="Times New Roman"/>
        <w:sz w:val="26"/>
        <w:szCs w:val="20"/>
        <w:lang w:val="pt-BR" w:eastAsia="ar-SA" w:bidi="ar-SA"/>
      </w:rPr>
      <w:t>PREFEITURA DO MUNICÍPIO DE LEME</w:t>
    </w:r>
  </w:p>
  <w:p w14:paraId="1539658B">
    <w:pPr>
      <w:suppressAutoHyphens/>
      <w:spacing w:after="0" w:line="240" w:lineRule="auto"/>
      <w:jc w:val="both"/>
      <w:rPr>
        <w:rFonts w:ascii="Times New Roman" w:hAnsi="Times New Roman" w:eastAsia="Times New Roman" w:cs="Times New Roman"/>
        <w:sz w:val="20"/>
        <w:szCs w:val="20"/>
        <w:lang w:val="pt-BR" w:eastAsia="ar-SA" w:bidi="ar-SA"/>
      </w:rPr>
    </w:pPr>
    <w:r>
      <w:rPr>
        <w:rFonts w:ascii="Times New Roman" w:hAnsi="Times New Roman" w:eastAsia="Times New Roman" w:cs="Times New Roman"/>
        <w:sz w:val="20"/>
        <w:szCs w:val="20"/>
        <w:lang w:val="pt-BR" w:eastAsia="ar-SA" w:bidi="ar-SA"/>
      </w:rPr>
      <w:t xml:space="preserve">             </w:t>
    </w:r>
    <w:r>
      <w:rPr>
        <w:rFonts w:hint="default" w:ascii="Times New Roman" w:hAnsi="Times New Roman" w:eastAsia="Times New Roman" w:cs="Times New Roman"/>
        <w:sz w:val="20"/>
        <w:szCs w:val="20"/>
        <w:lang w:val="pt-BR" w:eastAsia="ar-SA" w:bidi="ar-SA"/>
      </w:rPr>
      <w:t xml:space="preserve">                                                         </w:t>
    </w:r>
    <w:r>
      <w:rPr>
        <w:rFonts w:ascii="Times New Roman" w:hAnsi="Times New Roman" w:eastAsia="Times New Roman" w:cs="Times New Roman"/>
        <w:sz w:val="20"/>
        <w:szCs w:val="20"/>
        <w:lang w:val="pt-BR" w:eastAsia="ar-SA" w:bidi="ar-SA"/>
      </w:rPr>
      <w:t>ESTADO DE SÃO PAULO</w:t>
    </w:r>
  </w:p>
  <w:p w14:paraId="6DA3C262">
    <w:pPr>
      <w:pBdr>
        <w:bottom w:val="none" w:color="auto" w:sz="0" w:space="0"/>
      </w:pBdr>
      <w:spacing w:after="0" w:line="240" w:lineRule="auto"/>
      <w:jc w:val="center"/>
      <w:rPr>
        <w:rFonts w:ascii="Calibri" w:hAnsi="Calibri" w:eastAsia="Calibri" w:cs="Times New Roman"/>
        <w:b/>
        <w:color w:val="00427E"/>
        <w:sz w:val="24"/>
        <w:szCs w:val="24"/>
        <w:lang w:val="pt-BR" w:eastAsia="pt-BR" w:bidi="ar-SA"/>
      </w:rPr>
    </w:pPr>
    <w:r>
      <w:rPr>
        <w:rFonts w:ascii="Calibri" w:hAnsi="Calibri" w:eastAsia="Calibri" w:cs="Times New Roman"/>
        <w:color w:val="00427E"/>
        <w:sz w:val="24"/>
        <w:szCs w:val="24"/>
        <w:lang w:val="pt-BR" w:eastAsia="pt-BR" w:bidi="ar-SA"/>
      </w:rPr>
      <w:t>Secretaria de</w:t>
    </w:r>
    <w:r>
      <w:rPr>
        <w:rFonts w:hint="default" w:ascii="Calibri" w:hAnsi="Calibri" w:eastAsia="Calibri" w:cs="Times New Roman"/>
        <w:color w:val="00427E"/>
        <w:sz w:val="24"/>
        <w:szCs w:val="24"/>
        <w:lang w:val="pt-BR" w:eastAsia="pt-BR" w:bidi="ar-SA"/>
      </w:rPr>
      <w:t xml:space="preserve"> </w:t>
    </w:r>
    <w:r>
      <w:rPr>
        <w:rFonts w:ascii="Calibri" w:hAnsi="Calibri" w:eastAsia="Calibri" w:cs="Times New Roman"/>
        <w:b/>
        <w:color w:val="00427E"/>
        <w:sz w:val="24"/>
        <w:szCs w:val="24"/>
        <w:lang w:val="pt-BR" w:eastAsia="pt-BR" w:bidi="ar-SA"/>
      </w:rPr>
      <w:t>ADMINISTRAÇÃO</w:t>
    </w:r>
  </w:p>
  <w:p w14:paraId="13208F86">
    <w:pPr>
      <w:pBdr>
        <w:bottom w:val="none" w:color="auto" w:sz="0" w:space="0"/>
      </w:pBdr>
      <w:tabs>
        <w:tab w:val="center" w:pos="4419"/>
        <w:tab w:val="right" w:pos="8838"/>
      </w:tabs>
      <w:spacing w:after="0" w:line="240" w:lineRule="auto"/>
      <w:jc w:val="center"/>
      <w:rPr>
        <w:rFonts w:ascii="Calibri" w:hAnsi="Calibri" w:eastAsia="Calibri" w:cs="Times New Roman"/>
        <w:b/>
        <w:color w:val="00427E"/>
        <w:sz w:val="18"/>
        <w:szCs w:val="24"/>
        <w:lang w:val="pt-BR" w:eastAsia="pt-BR" w:bidi="ar-SA"/>
      </w:rPr>
    </w:pPr>
    <w:r>
      <w:rPr>
        <w:rFonts w:ascii="Calibri" w:hAnsi="Calibri" w:eastAsia="Calibri" w:cs="Times New Roman"/>
        <w:b/>
        <w:color w:val="00427E"/>
        <w:sz w:val="18"/>
        <w:szCs w:val="24"/>
        <w:lang w:val="pt-BR" w:eastAsia="pt-BR" w:bidi="ar-SA"/>
      </w:rPr>
      <w:t>DEPARTAMENTO DE LICITAÇÕES E COMPRAS</w:t>
    </w:r>
  </w:p>
  <w:p w14:paraId="21F9D8D2">
    <w:pPr>
      <w:pStyle w:val="20"/>
      <w:tabs>
        <w:tab w:val="center" w:pos="4419"/>
        <w:tab w:val="right" w:pos="8838"/>
        <w:tab w:val="clear" w:pos="4252"/>
        <w:tab w:val="clear" w:pos="8504"/>
      </w:tabs>
      <w:rPr>
        <w:lang w:val="pt-BR"/>
      </w:rPr>
    </w:pPr>
  </w:p>
  <w:p w14:paraId="47672192">
    <w:pPr>
      <w:pStyle w:val="20"/>
      <w:tabs>
        <w:tab w:val="center" w:pos="4419"/>
        <w:tab w:val="right" w:pos="8838"/>
        <w:tab w:val="clear" w:pos="4252"/>
        <w:tab w:val="clear" w:pos="8504"/>
      </w:tabs>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EA5DE">
    <w:pPr>
      <w:suppressAutoHyphens/>
      <w:spacing w:after="0" w:line="240" w:lineRule="auto"/>
      <w:jc w:val="center"/>
      <w:rPr>
        <w:rFonts w:ascii="Arial Black" w:hAnsi="Arial Black" w:eastAsia="Times New Roman" w:cs="Times New Roman"/>
        <w:sz w:val="18"/>
        <w:szCs w:val="18"/>
        <w:lang w:val="pt-BR" w:eastAsia="ar-SA" w:bidi="ar-SA"/>
      </w:rPr>
    </w:pPr>
    <w:r>
      <w:rPr>
        <w:rFonts w:ascii="Calibri" w:hAnsi="Calibri" w:eastAsia="Calibri" w:cs="Times New Roman"/>
        <w:b/>
        <w:color w:val="00427E"/>
        <w:sz w:val="18"/>
        <w:szCs w:val="24"/>
        <w:lang w:eastAsia="pt-BR"/>
      </w:rPr>
      <w:drawing>
        <wp:anchor distT="0" distB="0" distL="114300" distR="114300" simplePos="0" relativeHeight="251664384" behindDoc="1" locked="0" layoutInCell="1" allowOverlap="1">
          <wp:simplePos x="0" y="0"/>
          <wp:positionH relativeFrom="column">
            <wp:posOffset>140970</wp:posOffset>
          </wp:positionH>
          <wp:positionV relativeFrom="paragraph">
            <wp:posOffset>41275</wp:posOffset>
          </wp:positionV>
          <wp:extent cx="873760" cy="951230"/>
          <wp:effectExtent l="0" t="0" r="2540" b="1270"/>
          <wp:wrapNone/>
          <wp:docPr id="12" name="Imagem 2" descr="brasão_p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2" descr="brasão_pref"/>
                  <pic:cNvPicPr>
                    <a:picLocks noChangeAspect="1"/>
                  </pic:cNvPicPr>
                </pic:nvPicPr>
                <pic:blipFill>
                  <a:blip r:embed="rId1"/>
                  <a:stretch>
                    <a:fillRect/>
                  </a:stretch>
                </pic:blipFill>
                <pic:spPr>
                  <a:xfrm>
                    <a:off x="0" y="0"/>
                    <a:ext cx="873760" cy="951230"/>
                  </a:xfrm>
                  <a:prstGeom prst="rect">
                    <a:avLst/>
                  </a:prstGeom>
                  <a:noFill/>
                  <a:ln>
                    <a:noFill/>
                  </a:ln>
                </pic:spPr>
              </pic:pic>
            </a:graphicData>
          </a:graphic>
        </wp:anchor>
      </w:drawing>
    </w:r>
  </w:p>
  <w:p w14:paraId="0F03FB6D">
    <w:pPr>
      <w:suppressAutoHyphens/>
      <w:spacing w:after="0" w:line="240" w:lineRule="auto"/>
      <w:jc w:val="center"/>
      <w:rPr>
        <w:rFonts w:ascii="Arial Black" w:hAnsi="Arial Black" w:eastAsia="Times New Roman" w:cs="Times New Roman"/>
        <w:sz w:val="26"/>
        <w:szCs w:val="20"/>
        <w:lang w:val="pt-BR" w:eastAsia="ar-SA" w:bidi="ar-SA"/>
      </w:rPr>
    </w:pPr>
    <w:r>
      <w:rPr>
        <w:rFonts w:ascii="Arial Black" w:hAnsi="Arial Black" w:eastAsia="Times New Roman" w:cs="Times New Roman"/>
        <w:sz w:val="26"/>
        <w:szCs w:val="20"/>
        <w:lang w:val="pt-BR" w:eastAsia="ar-SA" w:bidi="ar-SA"/>
      </w:rPr>
      <w:t>PREFEITURA DO MUNICÍPIO DE LEME</w:t>
    </w:r>
  </w:p>
  <w:p w14:paraId="2B4D4E4D">
    <w:pPr>
      <w:suppressAutoHyphens/>
      <w:spacing w:after="0" w:line="240" w:lineRule="auto"/>
      <w:jc w:val="both"/>
      <w:rPr>
        <w:rFonts w:ascii="Times New Roman" w:hAnsi="Times New Roman" w:eastAsia="Times New Roman" w:cs="Times New Roman"/>
        <w:sz w:val="20"/>
        <w:szCs w:val="20"/>
        <w:lang w:val="pt-BR" w:eastAsia="ar-SA" w:bidi="ar-SA"/>
      </w:rPr>
    </w:pPr>
    <w:r>
      <w:rPr>
        <w:rFonts w:ascii="Times New Roman" w:hAnsi="Times New Roman" w:eastAsia="Times New Roman" w:cs="Times New Roman"/>
        <w:sz w:val="20"/>
        <w:szCs w:val="20"/>
        <w:lang w:val="pt-BR" w:eastAsia="ar-SA" w:bidi="ar-SA"/>
      </w:rPr>
      <w:t xml:space="preserve">             </w:t>
    </w:r>
    <w:r>
      <w:rPr>
        <w:rFonts w:hint="default" w:ascii="Times New Roman" w:hAnsi="Times New Roman" w:eastAsia="Times New Roman" w:cs="Times New Roman"/>
        <w:sz w:val="20"/>
        <w:szCs w:val="20"/>
        <w:lang w:val="pt-BR" w:eastAsia="ar-SA" w:bidi="ar-SA"/>
      </w:rPr>
      <w:t xml:space="preserve">                                                         </w:t>
    </w:r>
    <w:r>
      <w:rPr>
        <w:rFonts w:ascii="Times New Roman" w:hAnsi="Times New Roman" w:eastAsia="Times New Roman" w:cs="Times New Roman"/>
        <w:sz w:val="20"/>
        <w:szCs w:val="20"/>
        <w:lang w:val="pt-BR" w:eastAsia="ar-SA" w:bidi="ar-SA"/>
      </w:rPr>
      <w:t>ESTADO DE SÃO PAULO</w:t>
    </w:r>
  </w:p>
  <w:p w14:paraId="167D879F">
    <w:pPr>
      <w:pBdr>
        <w:bottom w:val="none" w:color="auto" w:sz="0" w:space="0"/>
      </w:pBdr>
      <w:spacing w:after="0" w:line="240" w:lineRule="auto"/>
      <w:jc w:val="center"/>
      <w:rPr>
        <w:rFonts w:ascii="Calibri" w:hAnsi="Calibri" w:eastAsia="Calibri" w:cs="Times New Roman"/>
        <w:b/>
        <w:color w:val="00427E"/>
        <w:sz w:val="24"/>
        <w:szCs w:val="24"/>
        <w:lang w:val="pt-BR" w:eastAsia="pt-BR" w:bidi="ar-SA"/>
      </w:rPr>
    </w:pPr>
    <w:r>
      <w:rPr>
        <w:rFonts w:ascii="Calibri" w:hAnsi="Calibri" w:eastAsia="Calibri" w:cs="Times New Roman"/>
        <w:color w:val="00427E"/>
        <w:sz w:val="24"/>
        <w:szCs w:val="24"/>
        <w:lang w:val="pt-BR" w:eastAsia="pt-BR" w:bidi="ar-SA"/>
      </w:rPr>
      <w:t>Secretaria de</w:t>
    </w:r>
    <w:r>
      <w:rPr>
        <w:rFonts w:hint="default" w:ascii="Calibri" w:hAnsi="Calibri" w:eastAsia="Calibri" w:cs="Times New Roman"/>
        <w:color w:val="00427E"/>
        <w:sz w:val="24"/>
        <w:szCs w:val="24"/>
        <w:lang w:val="pt-BR" w:eastAsia="pt-BR" w:bidi="ar-SA"/>
      </w:rPr>
      <w:t xml:space="preserve"> </w:t>
    </w:r>
    <w:r>
      <w:rPr>
        <w:rFonts w:ascii="Calibri" w:hAnsi="Calibri" w:eastAsia="Calibri" w:cs="Times New Roman"/>
        <w:b/>
        <w:color w:val="00427E"/>
        <w:sz w:val="24"/>
        <w:szCs w:val="24"/>
        <w:lang w:val="pt-BR" w:eastAsia="pt-BR" w:bidi="ar-SA"/>
      </w:rPr>
      <w:t>ADMINISTRAÇÃO</w:t>
    </w:r>
  </w:p>
  <w:p w14:paraId="57A8C462">
    <w:pPr>
      <w:pBdr>
        <w:bottom w:val="none" w:color="auto" w:sz="0" w:space="0"/>
      </w:pBdr>
      <w:tabs>
        <w:tab w:val="center" w:pos="4419"/>
        <w:tab w:val="right" w:pos="8838"/>
      </w:tabs>
      <w:spacing w:after="0" w:line="240" w:lineRule="auto"/>
      <w:jc w:val="center"/>
      <w:rPr>
        <w:rFonts w:ascii="Calibri" w:hAnsi="Calibri" w:eastAsia="Calibri" w:cs="Times New Roman"/>
        <w:b/>
        <w:color w:val="00427E"/>
        <w:sz w:val="18"/>
        <w:szCs w:val="24"/>
        <w:lang w:val="pt-BR" w:eastAsia="pt-BR" w:bidi="ar-SA"/>
      </w:rPr>
    </w:pPr>
    <w:r>
      <w:rPr>
        <w:rFonts w:ascii="Calibri" w:hAnsi="Calibri" w:eastAsia="Calibri" w:cs="Times New Roman"/>
        <w:b/>
        <w:color w:val="00427E"/>
        <w:sz w:val="18"/>
        <w:szCs w:val="24"/>
        <w:lang w:val="pt-BR" w:eastAsia="pt-BR" w:bidi="ar-SA"/>
      </w:rPr>
      <w:t>DEPARTAMENTO DE LICITAÇÕES E COMPRAS</w:t>
    </w:r>
  </w:p>
  <w:p w14:paraId="5CB07EEB">
    <w:pPr>
      <w:pBdr>
        <w:bottom w:val="none" w:color="auto" w:sz="0" w:space="0"/>
      </w:pBdr>
      <w:tabs>
        <w:tab w:val="center" w:pos="4419"/>
        <w:tab w:val="right" w:pos="8838"/>
      </w:tabs>
      <w:spacing w:after="0" w:line="240" w:lineRule="auto"/>
      <w:jc w:val="center"/>
      <w:rPr>
        <w:rFonts w:ascii="Calibri" w:hAnsi="Calibri" w:eastAsia="Calibri" w:cs="Times New Roman"/>
        <w:b/>
        <w:color w:val="00427E"/>
        <w:sz w:val="18"/>
        <w:szCs w:val="24"/>
        <w:lang w:val="pt-BR" w:eastAsia="pt-BR" w:bidi="ar-SA"/>
      </w:rPr>
    </w:pPr>
  </w:p>
  <w:p w14:paraId="7C6EB21E">
    <w:pPr>
      <w:pStyle w:val="20"/>
      <w:pBdr>
        <w:bottom w:val="none" w:color="auto" w:sz="0" w:space="0"/>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7C912">
    <w:pPr>
      <w:suppressAutoHyphens/>
      <w:spacing w:after="0" w:line="240" w:lineRule="auto"/>
      <w:jc w:val="center"/>
      <w:rPr>
        <w:rFonts w:ascii="Arial Black" w:hAnsi="Arial Black" w:eastAsia="Times New Roman" w:cs="Times New Roman"/>
        <w:sz w:val="26"/>
        <w:szCs w:val="20"/>
        <w:lang w:val="pt-BR" w:eastAsia="ar-SA" w:bidi="ar-SA"/>
      </w:rPr>
    </w:pPr>
    <w:r>
      <w:rPr>
        <w:rFonts w:ascii="Calibri" w:hAnsi="Calibri" w:eastAsia="Calibri" w:cs="Times New Roman"/>
        <w:b/>
        <w:color w:val="00427E"/>
        <w:sz w:val="18"/>
        <w:szCs w:val="24"/>
        <w:lang w:eastAsia="pt-BR"/>
      </w:rPr>
      <w:drawing>
        <wp:anchor distT="0" distB="0" distL="114300" distR="114300" simplePos="0" relativeHeight="251663360" behindDoc="1" locked="0" layoutInCell="1" allowOverlap="1">
          <wp:simplePos x="0" y="0"/>
          <wp:positionH relativeFrom="column">
            <wp:posOffset>101600</wp:posOffset>
          </wp:positionH>
          <wp:positionV relativeFrom="paragraph">
            <wp:posOffset>-20320</wp:posOffset>
          </wp:positionV>
          <wp:extent cx="873760" cy="951230"/>
          <wp:effectExtent l="0" t="0" r="2540" b="1270"/>
          <wp:wrapNone/>
          <wp:docPr id="11" name="Imagem 1" descr="brasão_p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 descr="brasão_pref"/>
                  <pic:cNvPicPr>
                    <a:picLocks noChangeAspect="1"/>
                  </pic:cNvPicPr>
                </pic:nvPicPr>
                <pic:blipFill>
                  <a:blip r:embed="rId1"/>
                  <a:stretch>
                    <a:fillRect/>
                  </a:stretch>
                </pic:blipFill>
                <pic:spPr>
                  <a:xfrm>
                    <a:off x="0" y="0"/>
                    <a:ext cx="873760" cy="951230"/>
                  </a:xfrm>
                  <a:prstGeom prst="rect">
                    <a:avLst/>
                  </a:prstGeom>
                  <a:noFill/>
                  <a:ln>
                    <a:noFill/>
                  </a:ln>
                </pic:spPr>
              </pic:pic>
            </a:graphicData>
          </a:graphic>
        </wp:anchor>
      </w:drawing>
    </w:r>
    <w:r>
      <w:rPr>
        <w:rFonts w:ascii="Arial Black" w:hAnsi="Arial Black" w:eastAsia="Times New Roman" w:cs="Times New Roman"/>
        <w:sz w:val="26"/>
        <w:szCs w:val="20"/>
        <w:lang w:val="pt-BR" w:eastAsia="ar-SA" w:bidi="ar-SA"/>
      </w:rPr>
      <w:t>PREFEITURA DO MUNICÍPIO DE LEME</w:t>
    </w:r>
  </w:p>
  <w:p w14:paraId="4CF8746B">
    <w:pPr>
      <w:suppressAutoHyphens/>
      <w:spacing w:after="0" w:line="240" w:lineRule="auto"/>
      <w:jc w:val="both"/>
      <w:rPr>
        <w:rFonts w:ascii="Times New Roman" w:hAnsi="Times New Roman" w:eastAsia="Times New Roman" w:cs="Times New Roman"/>
        <w:sz w:val="20"/>
        <w:szCs w:val="20"/>
        <w:lang w:val="pt-BR" w:eastAsia="ar-SA" w:bidi="ar-SA"/>
      </w:rPr>
    </w:pPr>
    <w:r>
      <w:rPr>
        <w:rFonts w:ascii="Times New Roman" w:hAnsi="Times New Roman" w:eastAsia="Times New Roman" w:cs="Times New Roman"/>
        <w:sz w:val="20"/>
        <w:szCs w:val="20"/>
        <w:lang w:val="pt-BR" w:eastAsia="ar-SA" w:bidi="ar-SA"/>
      </w:rPr>
      <w:t xml:space="preserve">             </w:t>
    </w:r>
    <w:r>
      <w:rPr>
        <w:rFonts w:hint="default" w:ascii="Times New Roman" w:hAnsi="Times New Roman" w:eastAsia="Times New Roman" w:cs="Times New Roman"/>
        <w:sz w:val="20"/>
        <w:szCs w:val="20"/>
        <w:lang w:val="pt-BR" w:eastAsia="ar-SA" w:bidi="ar-SA"/>
      </w:rPr>
      <w:t xml:space="preserve">                                                         </w:t>
    </w:r>
    <w:r>
      <w:rPr>
        <w:rFonts w:ascii="Times New Roman" w:hAnsi="Times New Roman" w:eastAsia="Times New Roman" w:cs="Times New Roman"/>
        <w:sz w:val="20"/>
        <w:szCs w:val="20"/>
        <w:lang w:val="pt-BR" w:eastAsia="ar-SA" w:bidi="ar-SA"/>
      </w:rPr>
      <w:t>ESTADO DE SÃO PAULO</w:t>
    </w:r>
  </w:p>
  <w:p w14:paraId="3AAE880F">
    <w:pPr>
      <w:pBdr>
        <w:bottom w:val="none" w:color="auto" w:sz="0" w:space="0"/>
      </w:pBdr>
      <w:spacing w:after="0" w:line="240" w:lineRule="auto"/>
      <w:jc w:val="center"/>
      <w:rPr>
        <w:rFonts w:ascii="Calibri" w:hAnsi="Calibri" w:eastAsia="Calibri" w:cs="Times New Roman"/>
        <w:b/>
        <w:color w:val="00427E"/>
        <w:sz w:val="24"/>
        <w:szCs w:val="24"/>
        <w:lang w:val="pt-BR" w:eastAsia="pt-BR" w:bidi="ar-SA"/>
      </w:rPr>
    </w:pPr>
    <w:r>
      <w:rPr>
        <w:rFonts w:ascii="Calibri" w:hAnsi="Calibri" w:eastAsia="Calibri" w:cs="Times New Roman"/>
        <w:color w:val="00427E"/>
        <w:sz w:val="24"/>
        <w:szCs w:val="24"/>
        <w:lang w:val="pt-BR" w:eastAsia="pt-BR" w:bidi="ar-SA"/>
      </w:rPr>
      <w:t>Secretaria de</w:t>
    </w:r>
    <w:r>
      <w:rPr>
        <w:rFonts w:hint="default" w:ascii="Calibri" w:hAnsi="Calibri" w:eastAsia="Calibri" w:cs="Times New Roman"/>
        <w:color w:val="00427E"/>
        <w:sz w:val="24"/>
        <w:szCs w:val="24"/>
        <w:lang w:val="pt-BR" w:eastAsia="pt-BR" w:bidi="ar-SA"/>
      </w:rPr>
      <w:t xml:space="preserve"> </w:t>
    </w:r>
    <w:r>
      <w:rPr>
        <w:rFonts w:ascii="Calibri" w:hAnsi="Calibri" w:eastAsia="Calibri" w:cs="Times New Roman"/>
        <w:b/>
        <w:color w:val="00427E"/>
        <w:sz w:val="24"/>
        <w:szCs w:val="24"/>
        <w:lang w:val="pt-BR" w:eastAsia="pt-BR" w:bidi="ar-SA"/>
      </w:rPr>
      <w:t>ADMINISTRAÇÃO</w:t>
    </w:r>
  </w:p>
  <w:p w14:paraId="1666BF8F">
    <w:pPr>
      <w:pBdr>
        <w:bottom w:val="none" w:color="auto" w:sz="0" w:space="0"/>
      </w:pBdr>
      <w:tabs>
        <w:tab w:val="center" w:pos="4419"/>
        <w:tab w:val="right" w:pos="8838"/>
      </w:tabs>
      <w:spacing w:after="0" w:line="240" w:lineRule="auto"/>
      <w:jc w:val="center"/>
      <w:rPr>
        <w:rFonts w:ascii="Calibri" w:hAnsi="Calibri" w:eastAsia="Calibri" w:cs="Times New Roman"/>
        <w:b/>
        <w:color w:val="00427E"/>
        <w:sz w:val="18"/>
        <w:szCs w:val="24"/>
        <w:lang w:val="pt-BR" w:eastAsia="pt-BR" w:bidi="ar-SA"/>
      </w:rPr>
    </w:pPr>
    <w:r>
      <w:rPr>
        <w:rFonts w:ascii="Calibri" w:hAnsi="Calibri" w:eastAsia="Calibri" w:cs="Times New Roman"/>
        <w:b/>
        <w:color w:val="00427E"/>
        <w:sz w:val="18"/>
        <w:szCs w:val="24"/>
        <w:lang w:val="pt-BR" w:eastAsia="pt-BR" w:bidi="ar-SA"/>
      </w:rPr>
      <w:t>DEPARTAMENTO DE LICITAÇÕES E COMPRAS</w:t>
    </w:r>
  </w:p>
  <w:p w14:paraId="2037F639">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A6DE6"/>
    <w:multiLevelType w:val="singleLevel"/>
    <w:tmpl w:val="814A6DE6"/>
    <w:lvl w:ilvl="0" w:tentative="0">
      <w:start w:val="1"/>
      <w:numFmt w:val="decimal"/>
      <w:suff w:val="space"/>
      <w:lvlText w:val="%1)"/>
      <w:lvlJc w:val="left"/>
    </w:lvl>
  </w:abstractNum>
  <w:abstractNum w:abstractNumId="1">
    <w:nsid w:val="893E0482"/>
    <w:multiLevelType w:val="singleLevel"/>
    <w:tmpl w:val="893E0482"/>
    <w:lvl w:ilvl="0" w:tentative="0">
      <w:start w:val="1"/>
      <w:numFmt w:val="decimal"/>
      <w:suff w:val="space"/>
      <w:lvlText w:val="%1)"/>
      <w:lvlJc w:val="left"/>
    </w:lvl>
  </w:abstractNum>
  <w:abstractNum w:abstractNumId="2">
    <w:nsid w:val="C08A03BB"/>
    <w:multiLevelType w:val="singleLevel"/>
    <w:tmpl w:val="C08A03BB"/>
    <w:lvl w:ilvl="0" w:tentative="0">
      <w:start w:val="1"/>
      <w:numFmt w:val="lowerLetter"/>
      <w:suff w:val="space"/>
      <w:lvlText w:val="%1)"/>
      <w:lvlJc w:val="left"/>
    </w:lvl>
  </w:abstractNum>
  <w:abstractNum w:abstractNumId="3">
    <w:nsid w:val="D44E136C"/>
    <w:multiLevelType w:val="multilevel"/>
    <w:tmpl w:val="D44E136C"/>
    <w:lvl w:ilvl="0" w:tentative="0">
      <w:start w:val="1"/>
      <w:numFmt w:val="decimal"/>
      <w:lvlText w:val="%1."/>
      <w:lvlJc w:val="left"/>
      <w:pPr>
        <w:tabs>
          <w:tab w:val="left" w:pos="0"/>
        </w:tabs>
        <w:ind w:left="0" w:leftChars="0" w:firstLine="0" w:firstLineChars="0"/>
      </w:pPr>
      <w:rPr>
        <w:rFonts w:hint="default" w:ascii="SimSun" w:hAnsi="SimSun" w:eastAsia="SimSun" w:cs="SimSun"/>
        <w:i w:val="0"/>
        <w:iCs w:val="0"/>
        <w:color w:val="auto"/>
      </w:rPr>
    </w:lvl>
    <w:lvl w:ilvl="1" w:tentative="0">
      <w:start w:val="1"/>
      <w:numFmt w:val="decimal"/>
      <w:isLgl/>
      <w:lvlText w:val="%1.%2."/>
      <w:lvlJc w:val="left"/>
      <w:pPr>
        <w:tabs>
          <w:tab w:val="left" w:pos="0"/>
        </w:tabs>
        <w:ind w:left="0" w:leftChars="0" w:firstLine="397" w:firstLineChars="0"/>
      </w:pPr>
      <w:rPr>
        <w:rFonts w:hint="default" w:ascii="SimSun" w:hAnsi="SimSun" w:eastAsia="SimSun" w:cs="SimSun"/>
        <w:b/>
        <w:bCs/>
        <w:i w:val="0"/>
        <w:iCs w:val="0"/>
      </w:rPr>
    </w:lvl>
    <w:lvl w:ilvl="2" w:tentative="0">
      <w:start w:val="1"/>
      <w:numFmt w:val="decimal"/>
      <w:lvlText w:val="%1.%2.%3."/>
      <w:lvlJc w:val="left"/>
      <w:pPr>
        <w:tabs>
          <w:tab w:val="left" w:pos="1508"/>
        </w:tabs>
        <w:ind w:left="1508" w:leftChars="0" w:hanging="708" w:firstLineChars="0"/>
      </w:pPr>
      <w:rPr>
        <w:rFonts w:hint="default" w:ascii="SimSun" w:hAnsi="SimSun" w:eastAsia="SimSun" w:cs="SimSun"/>
      </w:rPr>
    </w:lvl>
    <w:lvl w:ilvl="3" w:tentative="0">
      <w:start w:val="1"/>
      <w:numFmt w:val="decimal"/>
      <w:lvlText w:val="%1.%2.%3.%4."/>
      <w:lvlJc w:val="left"/>
      <w:pPr>
        <w:tabs>
          <w:tab w:val="left" w:pos="2053"/>
        </w:tabs>
        <w:ind w:left="2053" w:leftChars="0" w:hanging="853" w:firstLineChars="0"/>
      </w:pPr>
      <w:rPr>
        <w:rFonts w:hint="default"/>
      </w:rPr>
    </w:lvl>
    <w:lvl w:ilvl="4" w:tentative="0">
      <w:start w:val="1"/>
      <w:numFmt w:val="decimal"/>
      <w:lvlText w:val="%1.%2.%3.%4.%5."/>
      <w:lvlJc w:val="left"/>
      <w:pPr>
        <w:tabs>
          <w:tab w:val="left" w:pos="2495"/>
        </w:tabs>
        <w:ind w:left="2495" w:leftChars="0" w:hanging="895" w:firstLineChars="0"/>
      </w:pPr>
      <w:rPr>
        <w:rFonts w:hint="default"/>
      </w:rPr>
    </w:lvl>
    <w:lvl w:ilvl="5" w:tentative="0">
      <w:start w:val="1"/>
      <w:numFmt w:val="decimal"/>
      <w:lvlText w:val="%1.%2.%3.%4.%5.%6."/>
      <w:lvlJc w:val="left"/>
      <w:pPr>
        <w:tabs>
          <w:tab w:val="left" w:pos="3136"/>
        </w:tabs>
        <w:ind w:left="3136" w:leftChars="0" w:hanging="1136" w:firstLineChars="0"/>
      </w:pPr>
      <w:rPr>
        <w:rFonts w:hint="default"/>
      </w:rPr>
    </w:lvl>
    <w:lvl w:ilvl="6" w:tentative="0">
      <w:start w:val="1"/>
      <w:numFmt w:val="decimal"/>
      <w:lvlText w:val="%1.%2.%3.%4.%5.%6.%7."/>
      <w:lvlJc w:val="left"/>
      <w:pPr>
        <w:tabs>
          <w:tab w:val="left" w:pos="3673"/>
        </w:tabs>
        <w:ind w:left="3673" w:leftChars="0" w:hanging="1273" w:firstLineChars="0"/>
      </w:pPr>
      <w:rPr>
        <w:rFonts w:hint="default"/>
      </w:rPr>
    </w:lvl>
    <w:lvl w:ilvl="7" w:tentative="0">
      <w:start w:val="1"/>
      <w:numFmt w:val="decimal"/>
      <w:lvlText w:val="%1.%2.%3.%4.%5.%6.%7.%8."/>
      <w:lvlJc w:val="left"/>
      <w:pPr>
        <w:tabs>
          <w:tab w:val="left" w:pos="4218"/>
        </w:tabs>
        <w:ind w:left="4218" w:leftChars="0" w:hanging="1418" w:firstLineChars="0"/>
      </w:pPr>
      <w:rPr>
        <w:rFonts w:hint="default"/>
      </w:rPr>
    </w:lvl>
    <w:lvl w:ilvl="8" w:tentative="0">
      <w:start w:val="1"/>
      <w:numFmt w:val="decimal"/>
      <w:lvlText w:val="%1.%2.%3.%4.%5.%6.%7.%8.%9."/>
      <w:lvlJc w:val="left"/>
      <w:pPr>
        <w:tabs>
          <w:tab w:val="left" w:pos="4648"/>
        </w:tabs>
        <w:ind w:left="4648" w:leftChars="0" w:hanging="1448" w:firstLineChars="0"/>
      </w:pPr>
      <w:rPr>
        <w:rFonts w:hint="default"/>
      </w:rPr>
    </w:lvl>
  </w:abstractNum>
  <w:abstractNum w:abstractNumId="4">
    <w:nsid w:val="D6B74ECD"/>
    <w:multiLevelType w:val="singleLevel"/>
    <w:tmpl w:val="D6B74EC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DC8177CC"/>
    <w:multiLevelType w:val="singleLevel"/>
    <w:tmpl w:val="DC8177CC"/>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6">
    <w:nsid w:val="F6A216A6"/>
    <w:multiLevelType w:val="singleLevel"/>
    <w:tmpl w:val="F6A216A6"/>
    <w:lvl w:ilvl="0" w:tentative="0">
      <w:start w:val="1"/>
      <w:numFmt w:val="lowerLetter"/>
      <w:lvlText w:val="%1)"/>
      <w:lvlJc w:val="left"/>
      <w:pPr>
        <w:tabs>
          <w:tab w:val="left" w:pos="425"/>
        </w:tabs>
        <w:ind w:left="425" w:leftChars="0" w:hanging="425" w:firstLineChars="0"/>
      </w:pPr>
      <w:rPr>
        <w:rFonts w:hint="default"/>
      </w:rPr>
    </w:lvl>
  </w:abstractNum>
  <w:abstractNum w:abstractNumId="7">
    <w:nsid w:val="FFFFFF80"/>
    <w:multiLevelType w:val="singleLevel"/>
    <w:tmpl w:val="FFFFFF80"/>
    <w:lvl w:ilvl="0" w:tentative="0">
      <w:start w:val="1"/>
      <w:numFmt w:val="bullet"/>
      <w:pStyle w:val="17"/>
      <w:lvlText w:val=""/>
      <w:lvlJc w:val="left"/>
      <w:pPr>
        <w:tabs>
          <w:tab w:val="left" w:pos="1492"/>
        </w:tabs>
        <w:ind w:left="1492" w:hanging="360"/>
      </w:pPr>
      <w:rPr>
        <w:rFonts w:hint="default" w:ascii="Symbol" w:hAnsi="Symbol"/>
      </w:rPr>
    </w:lvl>
  </w:abstractNum>
  <w:abstractNum w:abstractNumId="8">
    <w:nsid w:val="0D496AB5"/>
    <w:multiLevelType w:val="multilevel"/>
    <w:tmpl w:val="0D496AB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1B8101A2"/>
    <w:multiLevelType w:val="multilevel"/>
    <w:tmpl w:val="1B8101A2"/>
    <w:lvl w:ilvl="0" w:tentative="0">
      <w:start w:val="6"/>
      <w:numFmt w:val="decimal"/>
      <w:lvlText w:val="%1"/>
      <w:lvlJc w:val="left"/>
      <w:pPr>
        <w:ind w:left="420" w:hanging="420"/>
      </w:pPr>
      <w:rPr>
        <w:rFonts w:hint="default" w:ascii="SimSun" w:hAnsi="SimSun" w:eastAsia="SimSun" w:cs="SimSun"/>
      </w:rPr>
    </w:lvl>
    <w:lvl w:ilvl="1" w:tentative="0">
      <w:start w:val="1"/>
      <w:numFmt w:val="decimal"/>
      <w:lvlText w:val="%1.%2"/>
      <w:lvlJc w:val="left"/>
      <w:pPr>
        <w:ind w:left="1838" w:hanging="420"/>
      </w:pPr>
      <w:rPr>
        <w:rFonts w:hint="default"/>
        <w:b w:val="0"/>
        <w:bCs w:val="0"/>
        <w:i w:val="0"/>
        <w:iCs/>
      </w:rPr>
    </w:lvl>
    <w:lvl w:ilvl="2" w:tentative="0">
      <w:start w:val="1"/>
      <w:numFmt w:val="decimal"/>
      <w:lvlText w:val="%1.%2.%3"/>
      <w:lvlJc w:val="left"/>
      <w:pPr>
        <w:ind w:left="1430" w:hanging="720"/>
      </w:pPr>
      <w:rPr>
        <w:rFonts w:hint="default"/>
        <w:b w:val="0"/>
        <w:bCs/>
        <w:i w:val="0"/>
        <w:iCs w:val="0"/>
      </w:rPr>
    </w:lvl>
    <w:lvl w:ilvl="3" w:tentative="0">
      <w:start w:val="1"/>
      <w:numFmt w:val="decimal"/>
      <w:lvlText w:val="%1.%2.%3.%4"/>
      <w:lvlJc w:val="left"/>
      <w:pPr>
        <w:ind w:left="216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0">
    <w:nsid w:val="1D5C100D"/>
    <w:multiLevelType w:val="multilevel"/>
    <w:tmpl w:val="1D5C100D"/>
    <w:lvl w:ilvl="0" w:tentative="0">
      <w:start w:val="1"/>
      <w:numFmt w:val="decimal"/>
      <w:pStyle w:val="41"/>
      <w:lvlText w:val="%1."/>
      <w:lvlJc w:val="left"/>
      <w:pPr>
        <w:ind w:left="360" w:hanging="360"/>
      </w:pPr>
      <w:rPr>
        <w:rFonts w:hint="default"/>
        <w:b/>
        <w:color w:val="auto"/>
      </w:rPr>
    </w:lvl>
    <w:lvl w:ilvl="1" w:tentative="0">
      <w:start w:val="1"/>
      <w:numFmt w:val="decimal"/>
      <w:pStyle w:val="58"/>
      <w:lvlText w:val="%1.%2."/>
      <w:lvlJc w:val="left"/>
      <w:pPr>
        <w:ind w:left="858" w:hanging="432"/>
      </w:pPr>
      <w:rPr>
        <w:rFonts w:hint="default"/>
        <w:b/>
        <w:bCs/>
        <w:i w:val="0"/>
        <w:strike w:val="0"/>
        <w:color w:val="auto"/>
        <w:sz w:val="21"/>
        <w:szCs w:val="21"/>
        <w:highlight w:val="none"/>
        <w:u w:val="none"/>
      </w:rPr>
    </w:lvl>
    <w:lvl w:ilvl="2" w:tentative="0">
      <w:start w:val="1"/>
      <w:numFmt w:val="decimal"/>
      <w:pStyle w:val="60"/>
      <w:lvlText w:val="%1.%2.%3."/>
      <w:lvlJc w:val="left"/>
      <w:pPr>
        <w:ind w:left="930" w:hanging="504"/>
      </w:pPr>
      <w:rPr>
        <w:rFonts w:hint="default" w:ascii="Calibri" w:hAnsi="Calibri" w:cs="Calibri"/>
        <w:b w:val="0"/>
        <w:i w:val="0"/>
        <w:strike w:val="0"/>
        <w:color w:val="auto"/>
        <w:sz w:val="20"/>
        <w:szCs w:val="20"/>
      </w:rPr>
    </w:lvl>
    <w:lvl w:ilvl="3" w:tentative="0">
      <w:start w:val="1"/>
      <w:numFmt w:val="decimal"/>
      <w:pStyle w:val="61"/>
      <w:lvlText w:val="%1.%2.%3.%4."/>
      <w:lvlJc w:val="left"/>
      <w:pPr>
        <w:ind w:left="2491" w:hanging="648"/>
      </w:pPr>
    </w:lvl>
    <w:lvl w:ilvl="4" w:tentative="0">
      <w:start w:val="1"/>
      <w:numFmt w:val="decimal"/>
      <w:pStyle w:val="62"/>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1">
    <w:nsid w:val="1FE2FC55"/>
    <w:multiLevelType w:val="singleLevel"/>
    <w:tmpl w:val="1FE2FC55"/>
    <w:lvl w:ilvl="0" w:tentative="0">
      <w:start w:val="1"/>
      <w:numFmt w:val="lowerLetter"/>
      <w:suff w:val="space"/>
      <w:lvlText w:val="%1)"/>
      <w:lvlJc w:val="left"/>
    </w:lvl>
  </w:abstractNum>
  <w:abstractNum w:abstractNumId="12">
    <w:nsid w:val="31C0B798"/>
    <w:multiLevelType w:val="singleLevel"/>
    <w:tmpl w:val="31C0B798"/>
    <w:lvl w:ilvl="0" w:tentative="0">
      <w:start w:val="1"/>
      <w:numFmt w:val="decimal"/>
      <w:suff w:val="space"/>
      <w:lvlText w:val="%1)"/>
      <w:lvlJc w:val="left"/>
    </w:lvl>
  </w:abstractNum>
  <w:abstractNum w:abstractNumId="13">
    <w:nsid w:val="3455F036"/>
    <w:multiLevelType w:val="singleLevel"/>
    <w:tmpl w:val="3455F036"/>
    <w:lvl w:ilvl="0" w:tentative="0">
      <w:start w:val="1"/>
      <w:numFmt w:val="decimal"/>
      <w:lvlText w:val="%1."/>
      <w:lvlJc w:val="left"/>
      <w:pPr>
        <w:tabs>
          <w:tab w:val="left" w:pos="425"/>
        </w:tabs>
        <w:ind w:left="425" w:hanging="425"/>
      </w:pPr>
      <w:rPr>
        <w:rFonts w:hint="default"/>
      </w:rPr>
    </w:lvl>
  </w:abstractNum>
  <w:abstractNum w:abstractNumId="14">
    <w:nsid w:val="347CB12A"/>
    <w:multiLevelType w:val="singleLevel"/>
    <w:tmpl w:val="347CB12A"/>
    <w:lvl w:ilvl="0" w:tentative="0">
      <w:start w:val="1"/>
      <w:numFmt w:val="decimal"/>
      <w:suff w:val="space"/>
      <w:lvlText w:val="%1)"/>
      <w:lvlJc w:val="left"/>
    </w:lvl>
  </w:abstractNum>
  <w:abstractNum w:abstractNumId="15">
    <w:nsid w:val="5CE1000E"/>
    <w:multiLevelType w:val="multilevel"/>
    <w:tmpl w:val="5CE1000E"/>
    <w:lvl w:ilvl="0" w:tentative="0">
      <w:start w:val="5"/>
      <w:numFmt w:val="decimal"/>
      <w:lvlText w:val="%1"/>
      <w:lvlJc w:val="left"/>
      <w:pPr>
        <w:ind w:left="420" w:hanging="420"/>
      </w:pPr>
      <w:rPr>
        <w:rFonts w:hint="default"/>
      </w:rPr>
    </w:lvl>
    <w:lvl w:ilvl="1" w:tentative="0">
      <w:start w:val="12"/>
      <w:numFmt w:val="decimal"/>
      <w:lvlText w:val="%1.%2"/>
      <w:lvlJc w:val="left"/>
      <w:pPr>
        <w:ind w:left="1838" w:hanging="420"/>
      </w:pPr>
      <w:rPr>
        <w:rFonts w:hint="default"/>
        <w:b w:val="0"/>
        <w:bCs w:val="0"/>
        <w:i w:val="0"/>
        <w:iCs/>
      </w:rPr>
    </w:lvl>
    <w:lvl w:ilvl="2" w:tentative="0">
      <w:start w:val="1"/>
      <w:numFmt w:val="decimal"/>
      <w:lvlText w:val="%1.%2.%3"/>
      <w:lvlJc w:val="left"/>
      <w:pPr>
        <w:ind w:left="1430" w:hanging="720"/>
      </w:pPr>
      <w:rPr>
        <w:rFonts w:hint="default"/>
        <w:b w:val="0"/>
        <w:bCs/>
        <w:i w:val="0"/>
        <w:iCs w:val="0"/>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7"/>
  </w:num>
  <w:num w:numId="2">
    <w:abstractNumId w:val="10"/>
  </w:num>
  <w:num w:numId="3">
    <w:abstractNumId w:val="1"/>
  </w:num>
  <w:num w:numId="4">
    <w:abstractNumId w:val="4"/>
  </w:num>
  <w:num w:numId="5">
    <w:abstractNumId w:val="15"/>
  </w:num>
  <w:num w:numId="6">
    <w:abstractNumId w:val="9"/>
  </w:num>
  <w:num w:numId="7">
    <w:abstractNumId w:val="11"/>
  </w:num>
  <w:num w:numId="8">
    <w:abstractNumId w:val="14"/>
  </w:num>
  <w:num w:numId="9">
    <w:abstractNumId w:val="2"/>
  </w:num>
  <w:num w:numId="10">
    <w:abstractNumId w:val="5"/>
  </w:num>
  <w:num w:numId="11">
    <w:abstractNumId w:val="3"/>
  </w:num>
  <w:num w:numId="12">
    <w:abstractNumId w:val="6"/>
  </w:num>
  <w:num w:numId="13">
    <w:abstractNumId w:val="0"/>
  </w:num>
  <w:num w:numId="14">
    <w:abstractNumId w:val="13"/>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0"/>
  <w:bordersDoNotSurroundFooter w:val="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displayHorizontalDrawingGridEvery w:val="1"/>
  <w:displayVerticalDrawingGridEvery w:val="1"/>
  <w:noPunctuationKerning w:val="1"/>
  <w:characterSpacingControl w:val="doNotCompress"/>
  <w:hdrShapeDefaults>
    <o:shapelayout v:ext="edit">
      <o:idmap v:ext="edit" data="2"/>
    </o:shapelayout>
  </w:hdrShapeDefault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17FA0"/>
    <w:rsid w:val="00020C33"/>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5D7"/>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3F6A"/>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96CCF"/>
    <w:rsid w:val="000A0129"/>
    <w:rsid w:val="000A0585"/>
    <w:rsid w:val="000A05E3"/>
    <w:rsid w:val="000A0BAC"/>
    <w:rsid w:val="000A102A"/>
    <w:rsid w:val="000A179E"/>
    <w:rsid w:val="000A1A7B"/>
    <w:rsid w:val="000A1B88"/>
    <w:rsid w:val="000A1BEE"/>
    <w:rsid w:val="000A1D75"/>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52F"/>
    <w:rsid w:val="000C05F5"/>
    <w:rsid w:val="000C07B0"/>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BA7"/>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3C"/>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5724"/>
    <w:rsid w:val="0014670B"/>
    <w:rsid w:val="001468D3"/>
    <w:rsid w:val="00146BDF"/>
    <w:rsid w:val="00147222"/>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B7"/>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2B8A"/>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07C2A"/>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C82"/>
    <w:rsid w:val="00231D35"/>
    <w:rsid w:val="00231E9C"/>
    <w:rsid w:val="002322DE"/>
    <w:rsid w:val="0023260A"/>
    <w:rsid w:val="00232E32"/>
    <w:rsid w:val="002333D7"/>
    <w:rsid w:val="002345B4"/>
    <w:rsid w:val="00235187"/>
    <w:rsid w:val="00235EFC"/>
    <w:rsid w:val="00236150"/>
    <w:rsid w:val="00236166"/>
    <w:rsid w:val="00236EF6"/>
    <w:rsid w:val="00240B17"/>
    <w:rsid w:val="00240E5B"/>
    <w:rsid w:val="00241680"/>
    <w:rsid w:val="00241D78"/>
    <w:rsid w:val="00241F34"/>
    <w:rsid w:val="002430F2"/>
    <w:rsid w:val="00243760"/>
    <w:rsid w:val="00244403"/>
    <w:rsid w:val="0024516A"/>
    <w:rsid w:val="00245337"/>
    <w:rsid w:val="00245B04"/>
    <w:rsid w:val="00245C2C"/>
    <w:rsid w:val="002463C0"/>
    <w:rsid w:val="002463FA"/>
    <w:rsid w:val="00246DAE"/>
    <w:rsid w:val="00250C01"/>
    <w:rsid w:val="0025147B"/>
    <w:rsid w:val="002514FE"/>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14AB"/>
    <w:rsid w:val="002D1B50"/>
    <w:rsid w:val="002D21D8"/>
    <w:rsid w:val="002D381A"/>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4ECA"/>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310"/>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06BD"/>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97CB6"/>
    <w:rsid w:val="003A03AB"/>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2BFB"/>
    <w:rsid w:val="003C32AE"/>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22E"/>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75F"/>
    <w:rsid w:val="003F6883"/>
    <w:rsid w:val="003F6C4D"/>
    <w:rsid w:val="003F6E6A"/>
    <w:rsid w:val="003F6F05"/>
    <w:rsid w:val="003F7C89"/>
    <w:rsid w:val="00400200"/>
    <w:rsid w:val="004011D9"/>
    <w:rsid w:val="00401A9B"/>
    <w:rsid w:val="004021C4"/>
    <w:rsid w:val="004021DF"/>
    <w:rsid w:val="004025E2"/>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56"/>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773"/>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0FBE"/>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316D"/>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91"/>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6A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447"/>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4215"/>
    <w:rsid w:val="005F50D6"/>
    <w:rsid w:val="005F51D4"/>
    <w:rsid w:val="005F51F9"/>
    <w:rsid w:val="005F6148"/>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1A86"/>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2048"/>
    <w:rsid w:val="0063246D"/>
    <w:rsid w:val="0063257C"/>
    <w:rsid w:val="006328C5"/>
    <w:rsid w:val="00632D6B"/>
    <w:rsid w:val="0063304D"/>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7E2"/>
    <w:rsid w:val="00646E4B"/>
    <w:rsid w:val="0064710C"/>
    <w:rsid w:val="006477A7"/>
    <w:rsid w:val="00647B47"/>
    <w:rsid w:val="00647C0B"/>
    <w:rsid w:val="00647CA5"/>
    <w:rsid w:val="00647E2F"/>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939"/>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4F71"/>
    <w:rsid w:val="006B51B2"/>
    <w:rsid w:val="006B5B2C"/>
    <w:rsid w:val="006B62A5"/>
    <w:rsid w:val="006B7243"/>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49B7"/>
    <w:rsid w:val="006D4B3A"/>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53A"/>
    <w:rsid w:val="00706C56"/>
    <w:rsid w:val="00707396"/>
    <w:rsid w:val="0070762A"/>
    <w:rsid w:val="00707F9F"/>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20342"/>
    <w:rsid w:val="00720EA6"/>
    <w:rsid w:val="007214E3"/>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68EF"/>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21"/>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17E7"/>
    <w:rsid w:val="007A22E9"/>
    <w:rsid w:val="007A24A2"/>
    <w:rsid w:val="007A24EB"/>
    <w:rsid w:val="007A25CC"/>
    <w:rsid w:val="007A282D"/>
    <w:rsid w:val="007A331E"/>
    <w:rsid w:val="007A3B34"/>
    <w:rsid w:val="007A3BD0"/>
    <w:rsid w:val="007A455D"/>
    <w:rsid w:val="007A4C6D"/>
    <w:rsid w:val="007A4F2F"/>
    <w:rsid w:val="007A644F"/>
    <w:rsid w:val="007A65FC"/>
    <w:rsid w:val="007A67A3"/>
    <w:rsid w:val="007A6B97"/>
    <w:rsid w:val="007A6FEB"/>
    <w:rsid w:val="007A7CE5"/>
    <w:rsid w:val="007A7DD9"/>
    <w:rsid w:val="007B02C3"/>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1C97"/>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77"/>
    <w:rsid w:val="007E7814"/>
    <w:rsid w:val="007E7972"/>
    <w:rsid w:val="007E7C59"/>
    <w:rsid w:val="007F0511"/>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2C28"/>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756C"/>
    <w:rsid w:val="00807941"/>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57F52"/>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0EBC"/>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3DA"/>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0AE"/>
    <w:rsid w:val="008E1CB2"/>
    <w:rsid w:val="008E31A9"/>
    <w:rsid w:val="008E4F95"/>
    <w:rsid w:val="008E530B"/>
    <w:rsid w:val="008E5366"/>
    <w:rsid w:val="008E5533"/>
    <w:rsid w:val="008E55AC"/>
    <w:rsid w:val="008E737B"/>
    <w:rsid w:val="008E775F"/>
    <w:rsid w:val="008F1A30"/>
    <w:rsid w:val="008F1C6E"/>
    <w:rsid w:val="008F1FC1"/>
    <w:rsid w:val="008F2238"/>
    <w:rsid w:val="008F2691"/>
    <w:rsid w:val="008F2DF6"/>
    <w:rsid w:val="008F2E3D"/>
    <w:rsid w:val="008F330B"/>
    <w:rsid w:val="008F35DC"/>
    <w:rsid w:val="008F478E"/>
    <w:rsid w:val="008F4D52"/>
    <w:rsid w:val="008F4E41"/>
    <w:rsid w:val="008F5276"/>
    <w:rsid w:val="008F5A55"/>
    <w:rsid w:val="008F6222"/>
    <w:rsid w:val="008F665E"/>
    <w:rsid w:val="008F670B"/>
    <w:rsid w:val="008F7A00"/>
    <w:rsid w:val="00900C1C"/>
    <w:rsid w:val="00900F65"/>
    <w:rsid w:val="0090112C"/>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4DE5"/>
    <w:rsid w:val="00985462"/>
    <w:rsid w:val="00985463"/>
    <w:rsid w:val="0098582B"/>
    <w:rsid w:val="00985947"/>
    <w:rsid w:val="00985FE7"/>
    <w:rsid w:val="00986029"/>
    <w:rsid w:val="009861AC"/>
    <w:rsid w:val="00987B37"/>
    <w:rsid w:val="0099079E"/>
    <w:rsid w:val="0099188F"/>
    <w:rsid w:val="0099189A"/>
    <w:rsid w:val="00991F5D"/>
    <w:rsid w:val="0099281E"/>
    <w:rsid w:val="00992870"/>
    <w:rsid w:val="009930B9"/>
    <w:rsid w:val="009934E2"/>
    <w:rsid w:val="00993AB6"/>
    <w:rsid w:val="00993DDC"/>
    <w:rsid w:val="00994079"/>
    <w:rsid w:val="00994175"/>
    <w:rsid w:val="00994C56"/>
    <w:rsid w:val="00994F59"/>
    <w:rsid w:val="00995933"/>
    <w:rsid w:val="00995FFD"/>
    <w:rsid w:val="00996A15"/>
    <w:rsid w:val="00997F4B"/>
    <w:rsid w:val="009A0B5D"/>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00C"/>
    <w:rsid w:val="009B533B"/>
    <w:rsid w:val="009B5A67"/>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9E9"/>
    <w:rsid w:val="009D3626"/>
    <w:rsid w:val="009D3B66"/>
    <w:rsid w:val="009D443F"/>
    <w:rsid w:val="009D655A"/>
    <w:rsid w:val="009D68FB"/>
    <w:rsid w:val="009D6CE6"/>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5D12"/>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F37"/>
    <w:rsid w:val="00A00C12"/>
    <w:rsid w:val="00A016F4"/>
    <w:rsid w:val="00A01D7B"/>
    <w:rsid w:val="00A01FC1"/>
    <w:rsid w:val="00A0211B"/>
    <w:rsid w:val="00A037C8"/>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688"/>
    <w:rsid w:val="00A1791D"/>
    <w:rsid w:val="00A17CF5"/>
    <w:rsid w:val="00A19E23"/>
    <w:rsid w:val="00A203CB"/>
    <w:rsid w:val="00A204BC"/>
    <w:rsid w:val="00A210D2"/>
    <w:rsid w:val="00A215A8"/>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33"/>
    <w:rsid w:val="00A64A3F"/>
    <w:rsid w:val="00A64DC9"/>
    <w:rsid w:val="00A65280"/>
    <w:rsid w:val="00A65624"/>
    <w:rsid w:val="00A656EC"/>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B8A"/>
    <w:rsid w:val="00A96E21"/>
    <w:rsid w:val="00A96E34"/>
    <w:rsid w:val="00A979B1"/>
    <w:rsid w:val="00AA0AD4"/>
    <w:rsid w:val="00AA1165"/>
    <w:rsid w:val="00AA1480"/>
    <w:rsid w:val="00AA1C10"/>
    <w:rsid w:val="00AA1E32"/>
    <w:rsid w:val="00AA2601"/>
    <w:rsid w:val="00AA2720"/>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537"/>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6F31"/>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6DB4"/>
    <w:rsid w:val="00B276A4"/>
    <w:rsid w:val="00B27724"/>
    <w:rsid w:val="00B27905"/>
    <w:rsid w:val="00B3027F"/>
    <w:rsid w:val="00B306F3"/>
    <w:rsid w:val="00B30AAD"/>
    <w:rsid w:val="00B30BC2"/>
    <w:rsid w:val="00B30C63"/>
    <w:rsid w:val="00B30F3D"/>
    <w:rsid w:val="00B315B3"/>
    <w:rsid w:val="00B31645"/>
    <w:rsid w:val="00B32AAE"/>
    <w:rsid w:val="00B32E8B"/>
    <w:rsid w:val="00B33711"/>
    <w:rsid w:val="00B339BC"/>
    <w:rsid w:val="00B33D65"/>
    <w:rsid w:val="00B33EA5"/>
    <w:rsid w:val="00B33F5C"/>
    <w:rsid w:val="00B340AB"/>
    <w:rsid w:val="00B34514"/>
    <w:rsid w:val="00B34550"/>
    <w:rsid w:val="00B34ED7"/>
    <w:rsid w:val="00B34F46"/>
    <w:rsid w:val="00B35482"/>
    <w:rsid w:val="00B35E07"/>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77EAE"/>
    <w:rsid w:val="00B801A6"/>
    <w:rsid w:val="00B80269"/>
    <w:rsid w:val="00B8044D"/>
    <w:rsid w:val="00B81030"/>
    <w:rsid w:val="00B810DF"/>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2132"/>
    <w:rsid w:val="00BA22D3"/>
    <w:rsid w:val="00BA2524"/>
    <w:rsid w:val="00BA3049"/>
    <w:rsid w:val="00BA3224"/>
    <w:rsid w:val="00BA391F"/>
    <w:rsid w:val="00BA4295"/>
    <w:rsid w:val="00BA456F"/>
    <w:rsid w:val="00BA493D"/>
    <w:rsid w:val="00BA4D69"/>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671"/>
    <w:rsid w:val="00C0072C"/>
    <w:rsid w:val="00C00F37"/>
    <w:rsid w:val="00C020EE"/>
    <w:rsid w:val="00C0247E"/>
    <w:rsid w:val="00C02A99"/>
    <w:rsid w:val="00C03F48"/>
    <w:rsid w:val="00C03F51"/>
    <w:rsid w:val="00C0422A"/>
    <w:rsid w:val="00C0501B"/>
    <w:rsid w:val="00C05C5B"/>
    <w:rsid w:val="00C05DDE"/>
    <w:rsid w:val="00C061C1"/>
    <w:rsid w:val="00C0648F"/>
    <w:rsid w:val="00C06812"/>
    <w:rsid w:val="00C10466"/>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E23"/>
    <w:rsid w:val="00C65399"/>
    <w:rsid w:val="00C65917"/>
    <w:rsid w:val="00C671D2"/>
    <w:rsid w:val="00C67A0A"/>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5BF0"/>
    <w:rsid w:val="00C85FED"/>
    <w:rsid w:val="00C86467"/>
    <w:rsid w:val="00C87199"/>
    <w:rsid w:val="00C90404"/>
    <w:rsid w:val="00C90A3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0A4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F87"/>
    <w:rsid w:val="00CC7262"/>
    <w:rsid w:val="00CC7A24"/>
    <w:rsid w:val="00CC7DFE"/>
    <w:rsid w:val="00CD0040"/>
    <w:rsid w:val="00CD0BEF"/>
    <w:rsid w:val="00CD0EF3"/>
    <w:rsid w:val="00CD109D"/>
    <w:rsid w:val="00CD1E9D"/>
    <w:rsid w:val="00CD243C"/>
    <w:rsid w:val="00CD2A30"/>
    <w:rsid w:val="00CD2D54"/>
    <w:rsid w:val="00CD4041"/>
    <w:rsid w:val="00CD4523"/>
    <w:rsid w:val="00CD4565"/>
    <w:rsid w:val="00CD461B"/>
    <w:rsid w:val="00CD4B0C"/>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251"/>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13C"/>
    <w:rsid w:val="00D735D0"/>
    <w:rsid w:val="00D738D2"/>
    <w:rsid w:val="00D74118"/>
    <w:rsid w:val="00D7421A"/>
    <w:rsid w:val="00D74303"/>
    <w:rsid w:val="00D74693"/>
    <w:rsid w:val="00D74696"/>
    <w:rsid w:val="00D75688"/>
    <w:rsid w:val="00D7589B"/>
    <w:rsid w:val="00D760A2"/>
    <w:rsid w:val="00D77315"/>
    <w:rsid w:val="00D77465"/>
    <w:rsid w:val="00D77D3C"/>
    <w:rsid w:val="00D80021"/>
    <w:rsid w:val="00D807E5"/>
    <w:rsid w:val="00D80803"/>
    <w:rsid w:val="00D80843"/>
    <w:rsid w:val="00D833BE"/>
    <w:rsid w:val="00D84C22"/>
    <w:rsid w:val="00D8562F"/>
    <w:rsid w:val="00D858D9"/>
    <w:rsid w:val="00D85B15"/>
    <w:rsid w:val="00D8724C"/>
    <w:rsid w:val="00D8796D"/>
    <w:rsid w:val="00D87E37"/>
    <w:rsid w:val="00D87F8C"/>
    <w:rsid w:val="00D9027A"/>
    <w:rsid w:val="00D90280"/>
    <w:rsid w:val="00D90A85"/>
    <w:rsid w:val="00D923F7"/>
    <w:rsid w:val="00D92936"/>
    <w:rsid w:val="00D929A3"/>
    <w:rsid w:val="00D93004"/>
    <w:rsid w:val="00D930C0"/>
    <w:rsid w:val="00D936B2"/>
    <w:rsid w:val="00D93711"/>
    <w:rsid w:val="00D938C1"/>
    <w:rsid w:val="00D939E9"/>
    <w:rsid w:val="00D942C4"/>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75C"/>
    <w:rsid w:val="00DA29C7"/>
    <w:rsid w:val="00DA2AF8"/>
    <w:rsid w:val="00DA2C76"/>
    <w:rsid w:val="00DA36F9"/>
    <w:rsid w:val="00DA37EF"/>
    <w:rsid w:val="00DA386A"/>
    <w:rsid w:val="00DA466E"/>
    <w:rsid w:val="00DA47A8"/>
    <w:rsid w:val="00DA524D"/>
    <w:rsid w:val="00DA6708"/>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4DF0"/>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20E"/>
    <w:rsid w:val="00E4154D"/>
    <w:rsid w:val="00E4196F"/>
    <w:rsid w:val="00E41A87"/>
    <w:rsid w:val="00E41AD6"/>
    <w:rsid w:val="00E41B01"/>
    <w:rsid w:val="00E42017"/>
    <w:rsid w:val="00E423E2"/>
    <w:rsid w:val="00E42698"/>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47919"/>
    <w:rsid w:val="00E50255"/>
    <w:rsid w:val="00E50772"/>
    <w:rsid w:val="00E5085F"/>
    <w:rsid w:val="00E50D89"/>
    <w:rsid w:val="00E528F9"/>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00C"/>
    <w:rsid w:val="00E7138D"/>
    <w:rsid w:val="00E7273B"/>
    <w:rsid w:val="00E72B6E"/>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839"/>
    <w:rsid w:val="00E96CB9"/>
    <w:rsid w:val="00E9721B"/>
    <w:rsid w:val="00E97299"/>
    <w:rsid w:val="00E97A23"/>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6F05"/>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547"/>
    <w:rsid w:val="00EC4915"/>
    <w:rsid w:val="00EC5199"/>
    <w:rsid w:val="00EC6827"/>
    <w:rsid w:val="00EC6D38"/>
    <w:rsid w:val="00EC7169"/>
    <w:rsid w:val="00EC7B1E"/>
    <w:rsid w:val="00EC7C76"/>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37D6D"/>
    <w:rsid w:val="00F404A7"/>
    <w:rsid w:val="00F405C9"/>
    <w:rsid w:val="00F40A19"/>
    <w:rsid w:val="00F40C29"/>
    <w:rsid w:val="00F414CD"/>
    <w:rsid w:val="00F414F8"/>
    <w:rsid w:val="00F424DB"/>
    <w:rsid w:val="00F425BD"/>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22F3"/>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9C5"/>
    <w:rsid w:val="00F64C7D"/>
    <w:rsid w:val="00F65784"/>
    <w:rsid w:val="00F66746"/>
    <w:rsid w:val="00F669C5"/>
    <w:rsid w:val="00F66F82"/>
    <w:rsid w:val="00F672FF"/>
    <w:rsid w:val="00F67ACE"/>
    <w:rsid w:val="00F67C1B"/>
    <w:rsid w:val="00F67F40"/>
    <w:rsid w:val="00F70195"/>
    <w:rsid w:val="00F70733"/>
    <w:rsid w:val="00F70FC0"/>
    <w:rsid w:val="00F715E7"/>
    <w:rsid w:val="00F71FF8"/>
    <w:rsid w:val="00F721E2"/>
    <w:rsid w:val="00F72602"/>
    <w:rsid w:val="00F72DEA"/>
    <w:rsid w:val="00F7331C"/>
    <w:rsid w:val="00F74ABA"/>
    <w:rsid w:val="00F75340"/>
    <w:rsid w:val="00F75710"/>
    <w:rsid w:val="00F75739"/>
    <w:rsid w:val="00F75AC9"/>
    <w:rsid w:val="00F75C20"/>
    <w:rsid w:val="00F75ED1"/>
    <w:rsid w:val="00F76413"/>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F98"/>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06"/>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1167EDE"/>
    <w:rsid w:val="011918B2"/>
    <w:rsid w:val="011B6706"/>
    <w:rsid w:val="012071E5"/>
    <w:rsid w:val="012E3CE7"/>
    <w:rsid w:val="01376F3F"/>
    <w:rsid w:val="017406F5"/>
    <w:rsid w:val="018C6EEC"/>
    <w:rsid w:val="01BD0368"/>
    <w:rsid w:val="021D693B"/>
    <w:rsid w:val="02256A93"/>
    <w:rsid w:val="02451384"/>
    <w:rsid w:val="02A5B310"/>
    <w:rsid w:val="02C56CBB"/>
    <w:rsid w:val="02E64909"/>
    <w:rsid w:val="030D1612"/>
    <w:rsid w:val="03163A61"/>
    <w:rsid w:val="031B7295"/>
    <w:rsid w:val="03333922"/>
    <w:rsid w:val="034451AB"/>
    <w:rsid w:val="035225B0"/>
    <w:rsid w:val="035E2E2B"/>
    <w:rsid w:val="036F9FAF"/>
    <w:rsid w:val="03A50B4D"/>
    <w:rsid w:val="03E50FF2"/>
    <w:rsid w:val="03E9547A"/>
    <w:rsid w:val="03FE86C2"/>
    <w:rsid w:val="047DB6A4"/>
    <w:rsid w:val="04BA7570"/>
    <w:rsid w:val="04D32273"/>
    <w:rsid w:val="055AB46E"/>
    <w:rsid w:val="05724CA0"/>
    <w:rsid w:val="0579A7DD"/>
    <w:rsid w:val="05B482E3"/>
    <w:rsid w:val="05EB5EC4"/>
    <w:rsid w:val="05F388D9"/>
    <w:rsid w:val="060CB136"/>
    <w:rsid w:val="060D13AE"/>
    <w:rsid w:val="060EA3DB"/>
    <w:rsid w:val="062EBBBF"/>
    <w:rsid w:val="063653B2"/>
    <w:rsid w:val="063A3A6E"/>
    <w:rsid w:val="063E2D45"/>
    <w:rsid w:val="065F6A44"/>
    <w:rsid w:val="06920777"/>
    <w:rsid w:val="06A531AC"/>
    <w:rsid w:val="074A53D1"/>
    <w:rsid w:val="0750320D"/>
    <w:rsid w:val="07813275"/>
    <w:rsid w:val="07AA743C"/>
    <w:rsid w:val="07CB52AD"/>
    <w:rsid w:val="07DA78EE"/>
    <w:rsid w:val="0825C528"/>
    <w:rsid w:val="085A57AB"/>
    <w:rsid w:val="08744E82"/>
    <w:rsid w:val="08915714"/>
    <w:rsid w:val="08C14368"/>
    <w:rsid w:val="090B64CA"/>
    <w:rsid w:val="091308EF"/>
    <w:rsid w:val="09341FBF"/>
    <w:rsid w:val="09353864"/>
    <w:rsid w:val="094B7668"/>
    <w:rsid w:val="094E7A0D"/>
    <w:rsid w:val="096575C2"/>
    <w:rsid w:val="096A2885"/>
    <w:rsid w:val="09B34808"/>
    <w:rsid w:val="09C3628A"/>
    <w:rsid w:val="09D354AA"/>
    <w:rsid w:val="09E21C93"/>
    <w:rsid w:val="0A0A121B"/>
    <w:rsid w:val="0A313600"/>
    <w:rsid w:val="0A314098"/>
    <w:rsid w:val="0A7039F0"/>
    <w:rsid w:val="0A74644A"/>
    <w:rsid w:val="0A873EE9"/>
    <w:rsid w:val="0AB4EB49"/>
    <w:rsid w:val="0AD96106"/>
    <w:rsid w:val="0AE0238A"/>
    <w:rsid w:val="0B412CDF"/>
    <w:rsid w:val="0B4263F7"/>
    <w:rsid w:val="0BCB1984"/>
    <w:rsid w:val="0BD6D9A9"/>
    <w:rsid w:val="0C72485D"/>
    <w:rsid w:val="0C824A57"/>
    <w:rsid w:val="0C9E538D"/>
    <w:rsid w:val="0CBF0D31"/>
    <w:rsid w:val="0CD8499C"/>
    <w:rsid w:val="0D0F5959"/>
    <w:rsid w:val="0D242726"/>
    <w:rsid w:val="0D562510"/>
    <w:rsid w:val="0D933A40"/>
    <w:rsid w:val="0D9A2076"/>
    <w:rsid w:val="0DA1B3F3"/>
    <w:rsid w:val="0DB0AC54"/>
    <w:rsid w:val="0DC470DA"/>
    <w:rsid w:val="0E03D98A"/>
    <w:rsid w:val="0E2F02D2"/>
    <w:rsid w:val="0E906868"/>
    <w:rsid w:val="0E925714"/>
    <w:rsid w:val="0EA77ACC"/>
    <w:rsid w:val="0ECF0DEB"/>
    <w:rsid w:val="0F2A25EA"/>
    <w:rsid w:val="0F650C07"/>
    <w:rsid w:val="0F7545F1"/>
    <w:rsid w:val="0F79B9D7"/>
    <w:rsid w:val="0F8B058F"/>
    <w:rsid w:val="0F904A16"/>
    <w:rsid w:val="0F9A6B1F"/>
    <w:rsid w:val="0FC4616A"/>
    <w:rsid w:val="0FF521BC"/>
    <w:rsid w:val="0FFE19AD"/>
    <w:rsid w:val="0FFE504A"/>
    <w:rsid w:val="100FA523"/>
    <w:rsid w:val="1013CDB2"/>
    <w:rsid w:val="1032399E"/>
    <w:rsid w:val="1032EB95"/>
    <w:rsid w:val="10A11BCB"/>
    <w:rsid w:val="10E0D201"/>
    <w:rsid w:val="110348F8"/>
    <w:rsid w:val="11041DAD"/>
    <w:rsid w:val="112B4B79"/>
    <w:rsid w:val="114D992C"/>
    <w:rsid w:val="115C628C"/>
    <w:rsid w:val="117D384D"/>
    <w:rsid w:val="11B928EF"/>
    <w:rsid w:val="11C0052E"/>
    <w:rsid w:val="123F0DD4"/>
    <w:rsid w:val="12934556"/>
    <w:rsid w:val="12A43A50"/>
    <w:rsid w:val="12B02035"/>
    <w:rsid w:val="12CF856F"/>
    <w:rsid w:val="12E23689"/>
    <w:rsid w:val="12E8344E"/>
    <w:rsid w:val="12F749CF"/>
    <w:rsid w:val="130F36D3"/>
    <w:rsid w:val="13250596"/>
    <w:rsid w:val="134D75DC"/>
    <w:rsid w:val="138D69C7"/>
    <w:rsid w:val="13A051C1"/>
    <w:rsid w:val="13CA7FF1"/>
    <w:rsid w:val="13D77899"/>
    <w:rsid w:val="14281072"/>
    <w:rsid w:val="14553BA0"/>
    <w:rsid w:val="1457280C"/>
    <w:rsid w:val="148641BA"/>
    <w:rsid w:val="14CA06C4"/>
    <w:rsid w:val="14E9463D"/>
    <w:rsid w:val="15026E9A"/>
    <w:rsid w:val="1507024F"/>
    <w:rsid w:val="152374DD"/>
    <w:rsid w:val="15282A96"/>
    <w:rsid w:val="1538F15A"/>
    <w:rsid w:val="1542236E"/>
    <w:rsid w:val="154A6590"/>
    <w:rsid w:val="158B3902"/>
    <w:rsid w:val="158D7BAB"/>
    <w:rsid w:val="15AA86A0"/>
    <w:rsid w:val="15FB6522"/>
    <w:rsid w:val="16003A26"/>
    <w:rsid w:val="163D5A89"/>
    <w:rsid w:val="165C66F7"/>
    <w:rsid w:val="16649FEF"/>
    <w:rsid w:val="16907A92"/>
    <w:rsid w:val="16AC15FA"/>
    <w:rsid w:val="16BF7F56"/>
    <w:rsid w:val="16CD711D"/>
    <w:rsid w:val="16D17044"/>
    <w:rsid w:val="176D2238"/>
    <w:rsid w:val="1772577C"/>
    <w:rsid w:val="17A34E58"/>
    <w:rsid w:val="17C61C52"/>
    <w:rsid w:val="17DF0A39"/>
    <w:rsid w:val="17E31DE5"/>
    <w:rsid w:val="18021FDE"/>
    <w:rsid w:val="1820E6FF"/>
    <w:rsid w:val="182A6AFD"/>
    <w:rsid w:val="1856197C"/>
    <w:rsid w:val="187314D3"/>
    <w:rsid w:val="187D5176"/>
    <w:rsid w:val="187E0041"/>
    <w:rsid w:val="18A758B6"/>
    <w:rsid w:val="18B42FE9"/>
    <w:rsid w:val="1909425E"/>
    <w:rsid w:val="190D7E26"/>
    <w:rsid w:val="19280D87"/>
    <w:rsid w:val="193305E4"/>
    <w:rsid w:val="19B81A64"/>
    <w:rsid w:val="1A0CC7BE"/>
    <w:rsid w:val="1A4F026C"/>
    <w:rsid w:val="1A841F91"/>
    <w:rsid w:val="1A8DDC6C"/>
    <w:rsid w:val="1AB5ADE8"/>
    <w:rsid w:val="1AC32D81"/>
    <w:rsid w:val="1AD15E11"/>
    <w:rsid w:val="1AEB0D31"/>
    <w:rsid w:val="1AECDB15"/>
    <w:rsid w:val="1B103D73"/>
    <w:rsid w:val="1B33302E"/>
    <w:rsid w:val="1B415BC7"/>
    <w:rsid w:val="1B4E745B"/>
    <w:rsid w:val="1B5887C1"/>
    <w:rsid w:val="1BBC1C8E"/>
    <w:rsid w:val="1C351A32"/>
    <w:rsid w:val="1C3EC466"/>
    <w:rsid w:val="1C752741"/>
    <w:rsid w:val="1C8CA1DF"/>
    <w:rsid w:val="1CA071E8"/>
    <w:rsid w:val="1D1C65C6"/>
    <w:rsid w:val="1D214DD8"/>
    <w:rsid w:val="1D25A32B"/>
    <w:rsid w:val="1D38DAFD"/>
    <w:rsid w:val="1D4A3B88"/>
    <w:rsid w:val="1DB717DE"/>
    <w:rsid w:val="1DE24533"/>
    <w:rsid w:val="1DE52597"/>
    <w:rsid w:val="1DE81B15"/>
    <w:rsid w:val="1DF009C5"/>
    <w:rsid w:val="1DF66816"/>
    <w:rsid w:val="1E902883"/>
    <w:rsid w:val="1EB7BFB8"/>
    <w:rsid w:val="1F395447"/>
    <w:rsid w:val="1F446322"/>
    <w:rsid w:val="1F8F4D1A"/>
    <w:rsid w:val="1FF156F8"/>
    <w:rsid w:val="1FFF38CB"/>
    <w:rsid w:val="20301817"/>
    <w:rsid w:val="20394DD7"/>
    <w:rsid w:val="2046737D"/>
    <w:rsid w:val="205940E8"/>
    <w:rsid w:val="207F3560"/>
    <w:rsid w:val="20A200E4"/>
    <w:rsid w:val="20C07489"/>
    <w:rsid w:val="21846B49"/>
    <w:rsid w:val="21BB5207"/>
    <w:rsid w:val="21D19061"/>
    <w:rsid w:val="21E662A0"/>
    <w:rsid w:val="2226F9E0"/>
    <w:rsid w:val="222B6520"/>
    <w:rsid w:val="225CA34E"/>
    <w:rsid w:val="22750E6E"/>
    <w:rsid w:val="227E50A7"/>
    <w:rsid w:val="229F5B6E"/>
    <w:rsid w:val="22A263DB"/>
    <w:rsid w:val="22FF71D3"/>
    <w:rsid w:val="230304F3"/>
    <w:rsid w:val="23272055"/>
    <w:rsid w:val="237837B8"/>
    <w:rsid w:val="238F7F94"/>
    <w:rsid w:val="23C2CA41"/>
    <w:rsid w:val="242F06C7"/>
    <w:rsid w:val="24493252"/>
    <w:rsid w:val="246D3609"/>
    <w:rsid w:val="24B33388"/>
    <w:rsid w:val="24D3A409"/>
    <w:rsid w:val="24DF3391"/>
    <w:rsid w:val="24E50EA3"/>
    <w:rsid w:val="24F35209"/>
    <w:rsid w:val="251759E2"/>
    <w:rsid w:val="25490881"/>
    <w:rsid w:val="255261F7"/>
    <w:rsid w:val="256C6F12"/>
    <w:rsid w:val="25A2704B"/>
    <w:rsid w:val="26017089"/>
    <w:rsid w:val="262178C9"/>
    <w:rsid w:val="2625546D"/>
    <w:rsid w:val="2657C157"/>
    <w:rsid w:val="265A0CA7"/>
    <w:rsid w:val="26632AEE"/>
    <w:rsid w:val="266E7A4F"/>
    <w:rsid w:val="26789B7A"/>
    <w:rsid w:val="26B07208"/>
    <w:rsid w:val="26BE2EE1"/>
    <w:rsid w:val="272E2055"/>
    <w:rsid w:val="2733771D"/>
    <w:rsid w:val="2775D4FE"/>
    <w:rsid w:val="27853AD9"/>
    <w:rsid w:val="27C24AC7"/>
    <w:rsid w:val="27D707DD"/>
    <w:rsid w:val="27E179A8"/>
    <w:rsid w:val="27E3087F"/>
    <w:rsid w:val="27ED7DE4"/>
    <w:rsid w:val="27F441C5"/>
    <w:rsid w:val="280A4AB0"/>
    <w:rsid w:val="28107F44"/>
    <w:rsid w:val="28210363"/>
    <w:rsid w:val="28552604"/>
    <w:rsid w:val="28BB1234"/>
    <w:rsid w:val="29007FD7"/>
    <w:rsid w:val="29235DB0"/>
    <w:rsid w:val="2929F931"/>
    <w:rsid w:val="296E88C5"/>
    <w:rsid w:val="29AB6ADE"/>
    <w:rsid w:val="29AB7BB1"/>
    <w:rsid w:val="29BC3988"/>
    <w:rsid w:val="29F468E2"/>
    <w:rsid w:val="2A115A7D"/>
    <w:rsid w:val="2A1A0CEB"/>
    <w:rsid w:val="2A5B4DC5"/>
    <w:rsid w:val="2AAC3290"/>
    <w:rsid w:val="2AAD75C0"/>
    <w:rsid w:val="2AB5613F"/>
    <w:rsid w:val="2AD3F319"/>
    <w:rsid w:val="2AF6E43E"/>
    <w:rsid w:val="2B4D64D2"/>
    <w:rsid w:val="2B581127"/>
    <w:rsid w:val="2B7872A7"/>
    <w:rsid w:val="2B813CE8"/>
    <w:rsid w:val="2BA8231B"/>
    <w:rsid w:val="2BCF0700"/>
    <w:rsid w:val="2BDB07AB"/>
    <w:rsid w:val="2C062248"/>
    <w:rsid w:val="2C5133A7"/>
    <w:rsid w:val="2C8E01C2"/>
    <w:rsid w:val="2CCFDA00"/>
    <w:rsid w:val="2D870BEC"/>
    <w:rsid w:val="2DE38E7E"/>
    <w:rsid w:val="2E1135A2"/>
    <w:rsid w:val="2E160B93"/>
    <w:rsid w:val="2E29257B"/>
    <w:rsid w:val="2E3D0452"/>
    <w:rsid w:val="2E6B07B8"/>
    <w:rsid w:val="2E7070B9"/>
    <w:rsid w:val="2E715A7F"/>
    <w:rsid w:val="2E9845F1"/>
    <w:rsid w:val="2EA30912"/>
    <w:rsid w:val="2F3141B7"/>
    <w:rsid w:val="2F33A853"/>
    <w:rsid w:val="2F39A5D2"/>
    <w:rsid w:val="2F3C4F45"/>
    <w:rsid w:val="2F5F874C"/>
    <w:rsid w:val="2F88D469"/>
    <w:rsid w:val="2F933A9E"/>
    <w:rsid w:val="2F955ACB"/>
    <w:rsid w:val="2FCC22D8"/>
    <w:rsid w:val="2FE144B8"/>
    <w:rsid w:val="3003D639"/>
    <w:rsid w:val="3022A7F5"/>
    <w:rsid w:val="3050340E"/>
    <w:rsid w:val="306B53EE"/>
    <w:rsid w:val="307552A6"/>
    <w:rsid w:val="30775D5E"/>
    <w:rsid w:val="307A00C0"/>
    <w:rsid w:val="308710CB"/>
    <w:rsid w:val="30A0380B"/>
    <w:rsid w:val="30CF78B4"/>
    <w:rsid w:val="31091081"/>
    <w:rsid w:val="311B2F40"/>
    <w:rsid w:val="312A7037"/>
    <w:rsid w:val="313409E3"/>
    <w:rsid w:val="313B58A8"/>
    <w:rsid w:val="31433494"/>
    <w:rsid w:val="316F0ABE"/>
    <w:rsid w:val="31FC26DD"/>
    <w:rsid w:val="321D0F8E"/>
    <w:rsid w:val="325B8041"/>
    <w:rsid w:val="326F76CF"/>
    <w:rsid w:val="327C3161"/>
    <w:rsid w:val="329337B1"/>
    <w:rsid w:val="32C62DF1"/>
    <w:rsid w:val="33045634"/>
    <w:rsid w:val="330B362F"/>
    <w:rsid w:val="3347090A"/>
    <w:rsid w:val="335040A9"/>
    <w:rsid w:val="337909A8"/>
    <w:rsid w:val="338D3919"/>
    <w:rsid w:val="33A86F5E"/>
    <w:rsid w:val="33CE5C77"/>
    <w:rsid w:val="33EF3F83"/>
    <w:rsid w:val="3437A4CF"/>
    <w:rsid w:val="344959D8"/>
    <w:rsid w:val="345C458C"/>
    <w:rsid w:val="34604D86"/>
    <w:rsid w:val="346D4633"/>
    <w:rsid w:val="34A1E81C"/>
    <w:rsid w:val="34C00A43"/>
    <w:rsid w:val="34C8FFE1"/>
    <w:rsid w:val="34DD1634"/>
    <w:rsid w:val="353C68DD"/>
    <w:rsid w:val="3579309E"/>
    <w:rsid w:val="357CABF2"/>
    <w:rsid w:val="3590276F"/>
    <w:rsid w:val="361D77DE"/>
    <w:rsid w:val="362C2762"/>
    <w:rsid w:val="36517271"/>
    <w:rsid w:val="3662A8AC"/>
    <w:rsid w:val="36992FA1"/>
    <w:rsid w:val="369E1627"/>
    <w:rsid w:val="36A31332"/>
    <w:rsid w:val="36C95CEF"/>
    <w:rsid w:val="36EC78EE"/>
    <w:rsid w:val="36F4710C"/>
    <w:rsid w:val="37165DEE"/>
    <w:rsid w:val="37290DB8"/>
    <w:rsid w:val="37653A7A"/>
    <w:rsid w:val="37B73D70"/>
    <w:rsid w:val="38EE3475"/>
    <w:rsid w:val="390C2635"/>
    <w:rsid w:val="3920A23A"/>
    <w:rsid w:val="396629B0"/>
    <w:rsid w:val="39D174E9"/>
    <w:rsid w:val="39EC5217"/>
    <w:rsid w:val="3A382363"/>
    <w:rsid w:val="3A3E5D31"/>
    <w:rsid w:val="3A501D15"/>
    <w:rsid w:val="3A5F7302"/>
    <w:rsid w:val="3A6B761A"/>
    <w:rsid w:val="3A8FA5AC"/>
    <w:rsid w:val="3A985A30"/>
    <w:rsid w:val="3AC10CF0"/>
    <w:rsid w:val="3AE9E302"/>
    <w:rsid w:val="3AED141D"/>
    <w:rsid w:val="3B9683F7"/>
    <w:rsid w:val="3BB4167F"/>
    <w:rsid w:val="3BCB3C2E"/>
    <w:rsid w:val="3C334F54"/>
    <w:rsid w:val="3C5B9830"/>
    <w:rsid w:val="3CAB666A"/>
    <w:rsid w:val="3CC334D4"/>
    <w:rsid w:val="3CE55274"/>
    <w:rsid w:val="3CF72ABC"/>
    <w:rsid w:val="3D2E4540"/>
    <w:rsid w:val="3D366AFC"/>
    <w:rsid w:val="3D36FC14"/>
    <w:rsid w:val="3D3E4E64"/>
    <w:rsid w:val="3D464014"/>
    <w:rsid w:val="3D47307B"/>
    <w:rsid w:val="3D477B99"/>
    <w:rsid w:val="3D585180"/>
    <w:rsid w:val="3D8F0ED7"/>
    <w:rsid w:val="3DC56211"/>
    <w:rsid w:val="3E210D1D"/>
    <w:rsid w:val="3E5B5F2A"/>
    <w:rsid w:val="3EAC4BE0"/>
    <w:rsid w:val="3EC3136F"/>
    <w:rsid w:val="3EDDC268"/>
    <w:rsid w:val="3EDF4135"/>
    <w:rsid w:val="3FA54227"/>
    <w:rsid w:val="3FB55862"/>
    <w:rsid w:val="3FC4DD13"/>
    <w:rsid w:val="403BBDE6"/>
    <w:rsid w:val="403E3E41"/>
    <w:rsid w:val="40603896"/>
    <w:rsid w:val="40705AF9"/>
    <w:rsid w:val="40993BDC"/>
    <w:rsid w:val="40BA608D"/>
    <w:rsid w:val="40E85574"/>
    <w:rsid w:val="40ED1A8B"/>
    <w:rsid w:val="411272C2"/>
    <w:rsid w:val="41517290"/>
    <w:rsid w:val="41912610"/>
    <w:rsid w:val="41DF05BF"/>
    <w:rsid w:val="41EB6EC2"/>
    <w:rsid w:val="41ED208D"/>
    <w:rsid w:val="41FC08F7"/>
    <w:rsid w:val="42240600"/>
    <w:rsid w:val="4284D176"/>
    <w:rsid w:val="4298CFDB"/>
    <w:rsid w:val="42E0FEE6"/>
    <w:rsid w:val="42E8010E"/>
    <w:rsid w:val="43168137"/>
    <w:rsid w:val="4317A905"/>
    <w:rsid w:val="432D4CDF"/>
    <w:rsid w:val="43367B1D"/>
    <w:rsid w:val="439F739E"/>
    <w:rsid w:val="43BF3CA7"/>
    <w:rsid w:val="43E32BEE"/>
    <w:rsid w:val="44175E76"/>
    <w:rsid w:val="445C7035"/>
    <w:rsid w:val="445E6274"/>
    <w:rsid w:val="446868FA"/>
    <w:rsid w:val="446C74DA"/>
    <w:rsid w:val="44966EE1"/>
    <w:rsid w:val="449EE389"/>
    <w:rsid w:val="44A8FB23"/>
    <w:rsid w:val="44BA43A3"/>
    <w:rsid w:val="44BF3856"/>
    <w:rsid w:val="44CE70FD"/>
    <w:rsid w:val="45113EFE"/>
    <w:rsid w:val="451A831C"/>
    <w:rsid w:val="457A34EC"/>
    <w:rsid w:val="458E64AD"/>
    <w:rsid w:val="45AB0FF2"/>
    <w:rsid w:val="45B58627"/>
    <w:rsid w:val="45BA2B65"/>
    <w:rsid w:val="45DF14AD"/>
    <w:rsid w:val="45F16D8A"/>
    <w:rsid w:val="4638CD78"/>
    <w:rsid w:val="46654E8C"/>
    <w:rsid w:val="468D0C4E"/>
    <w:rsid w:val="46B047D5"/>
    <w:rsid w:val="46DCB065"/>
    <w:rsid w:val="46E67457"/>
    <w:rsid w:val="471E9E97"/>
    <w:rsid w:val="47303E3F"/>
    <w:rsid w:val="47A45B98"/>
    <w:rsid w:val="47B37B85"/>
    <w:rsid w:val="47B76A9B"/>
    <w:rsid w:val="47D253E2"/>
    <w:rsid w:val="47DF46F8"/>
    <w:rsid w:val="47E54182"/>
    <w:rsid w:val="47F5689C"/>
    <w:rsid w:val="47FF4BA4"/>
    <w:rsid w:val="4810074A"/>
    <w:rsid w:val="484339E3"/>
    <w:rsid w:val="48703D10"/>
    <w:rsid w:val="48B0193B"/>
    <w:rsid w:val="48B8194D"/>
    <w:rsid w:val="48C08A7A"/>
    <w:rsid w:val="493743EB"/>
    <w:rsid w:val="496667C5"/>
    <w:rsid w:val="496752A2"/>
    <w:rsid w:val="499D5E6E"/>
    <w:rsid w:val="49AA5692"/>
    <w:rsid w:val="49AE39DC"/>
    <w:rsid w:val="49B345FB"/>
    <w:rsid w:val="49C1268F"/>
    <w:rsid w:val="49CF44CD"/>
    <w:rsid w:val="49E52237"/>
    <w:rsid w:val="49F9606C"/>
    <w:rsid w:val="4A20750F"/>
    <w:rsid w:val="4A336D75"/>
    <w:rsid w:val="4A48D332"/>
    <w:rsid w:val="4A64571C"/>
    <w:rsid w:val="4A662492"/>
    <w:rsid w:val="4A7BDDE7"/>
    <w:rsid w:val="4ABC2DB0"/>
    <w:rsid w:val="4AD3BACB"/>
    <w:rsid w:val="4AD941E4"/>
    <w:rsid w:val="4B254EF7"/>
    <w:rsid w:val="4B428375"/>
    <w:rsid w:val="4B50742C"/>
    <w:rsid w:val="4B526D3C"/>
    <w:rsid w:val="4B561E94"/>
    <w:rsid w:val="4B7E6F5E"/>
    <w:rsid w:val="4B8F2946"/>
    <w:rsid w:val="4BA76261"/>
    <w:rsid w:val="4BC7E824"/>
    <w:rsid w:val="4BCD18A1"/>
    <w:rsid w:val="4BFB04CC"/>
    <w:rsid w:val="4BFE0BE6"/>
    <w:rsid w:val="4C257AAA"/>
    <w:rsid w:val="4C557518"/>
    <w:rsid w:val="4C82CE98"/>
    <w:rsid w:val="4CAF6566"/>
    <w:rsid w:val="4CC8D899"/>
    <w:rsid w:val="4D176FE7"/>
    <w:rsid w:val="4D338AB3"/>
    <w:rsid w:val="4D613699"/>
    <w:rsid w:val="4D640287"/>
    <w:rsid w:val="4D9A0C5C"/>
    <w:rsid w:val="4DAE70A6"/>
    <w:rsid w:val="4E0635DF"/>
    <w:rsid w:val="4E1B6286"/>
    <w:rsid w:val="4E973839"/>
    <w:rsid w:val="4EA92156"/>
    <w:rsid w:val="4EAE16CB"/>
    <w:rsid w:val="4EB75982"/>
    <w:rsid w:val="4EC428A8"/>
    <w:rsid w:val="4ECE48E0"/>
    <w:rsid w:val="4EF3E632"/>
    <w:rsid w:val="4F203B82"/>
    <w:rsid w:val="4F376948"/>
    <w:rsid w:val="4F8F4D72"/>
    <w:rsid w:val="4FD940E8"/>
    <w:rsid w:val="4FE315A7"/>
    <w:rsid w:val="50182CF3"/>
    <w:rsid w:val="50294293"/>
    <w:rsid w:val="50743151"/>
    <w:rsid w:val="50960700"/>
    <w:rsid w:val="50984818"/>
    <w:rsid w:val="50991873"/>
    <w:rsid w:val="509B32CD"/>
    <w:rsid w:val="509B7CB4"/>
    <w:rsid w:val="50C30C0E"/>
    <w:rsid w:val="50CB601A"/>
    <w:rsid w:val="50D5692A"/>
    <w:rsid w:val="51091387"/>
    <w:rsid w:val="512C7C40"/>
    <w:rsid w:val="514E2D70"/>
    <w:rsid w:val="515AB37A"/>
    <w:rsid w:val="515B7E88"/>
    <w:rsid w:val="5189942C"/>
    <w:rsid w:val="518F9939"/>
    <w:rsid w:val="51B74DCB"/>
    <w:rsid w:val="51C64566"/>
    <w:rsid w:val="52050320"/>
    <w:rsid w:val="52360AEF"/>
    <w:rsid w:val="524A5592"/>
    <w:rsid w:val="524B3FC2"/>
    <w:rsid w:val="527463D6"/>
    <w:rsid w:val="52971E0E"/>
    <w:rsid w:val="52AB4331"/>
    <w:rsid w:val="52BC306A"/>
    <w:rsid w:val="52EA5EEA"/>
    <w:rsid w:val="52F683DB"/>
    <w:rsid w:val="530F4493"/>
    <w:rsid w:val="5316333A"/>
    <w:rsid w:val="532B3C12"/>
    <w:rsid w:val="532C5467"/>
    <w:rsid w:val="533232D6"/>
    <w:rsid w:val="533F6E7B"/>
    <w:rsid w:val="534845CE"/>
    <w:rsid w:val="53887A72"/>
    <w:rsid w:val="5392A9B6"/>
    <w:rsid w:val="53B03121"/>
    <w:rsid w:val="53BB9814"/>
    <w:rsid w:val="53C75755"/>
    <w:rsid w:val="540A5703"/>
    <w:rsid w:val="5456436D"/>
    <w:rsid w:val="545A0076"/>
    <w:rsid w:val="545A1500"/>
    <w:rsid w:val="548DE07D"/>
    <w:rsid w:val="54BF1A9B"/>
    <w:rsid w:val="54CA432C"/>
    <w:rsid w:val="54CE955E"/>
    <w:rsid w:val="558B219B"/>
    <w:rsid w:val="559329D1"/>
    <w:rsid w:val="55D31B5A"/>
    <w:rsid w:val="55FA4715"/>
    <w:rsid w:val="561E00D5"/>
    <w:rsid w:val="56260D65"/>
    <w:rsid w:val="5658069F"/>
    <w:rsid w:val="5658C53A"/>
    <w:rsid w:val="569C1CFF"/>
    <w:rsid w:val="56B02642"/>
    <w:rsid w:val="56F211DE"/>
    <w:rsid w:val="5724172E"/>
    <w:rsid w:val="57900337"/>
    <w:rsid w:val="57AE531C"/>
    <w:rsid w:val="57F32AC2"/>
    <w:rsid w:val="581C340A"/>
    <w:rsid w:val="58304547"/>
    <w:rsid w:val="583A33C4"/>
    <w:rsid w:val="583BAD14"/>
    <w:rsid w:val="585623BE"/>
    <w:rsid w:val="587D1AD7"/>
    <w:rsid w:val="58ED34F0"/>
    <w:rsid w:val="59132170"/>
    <w:rsid w:val="59351E4A"/>
    <w:rsid w:val="594B358C"/>
    <w:rsid w:val="59C00A5C"/>
    <w:rsid w:val="59C961D4"/>
    <w:rsid w:val="59D728C1"/>
    <w:rsid w:val="59DA3253"/>
    <w:rsid w:val="59DD33FF"/>
    <w:rsid w:val="5A82592C"/>
    <w:rsid w:val="5A85128E"/>
    <w:rsid w:val="5B58F1E4"/>
    <w:rsid w:val="5B6D27AC"/>
    <w:rsid w:val="5B780C22"/>
    <w:rsid w:val="5B9062C9"/>
    <w:rsid w:val="5B9577B9"/>
    <w:rsid w:val="5BA7046C"/>
    <w:rsid w:val="5BCE3F3E"/>
    <w:rsid w:val="5BE03E13"/>
    <w:rsid w:val="5C151583"/>
    <w:rsid w:val="5C1724DB"/>
    <w:rsid w:val="5C1F35AE"/>
    <w:rsid w:val="5C3C1FCF"/>
    <w:rsid w:val="5C631A3A"/>
    <w:rsid w:val="5CD15AEC"/>
    <w:rsid w:val="5CF3620A"/>
    <w:rsid w:val="5CF466B8"/>
    <w:rsid w:val="5D08F80D"/>
    <w:rsid w:val="5D3405D5"/>
    <w:rsid w:val="5D42240C"/>
    <w:rsid w:val="5D4E7523"/>
    <w:rsid w:val="5D6E399B"/>
    <w:rsid w:val="5D707E2A"/>
    <w:rsid w:val="5D710D9B"/>
    <w:rsid w:val="5D9A251C"/>
    <w:rsid w:val="5DE6099B"/>
    <w:rsid w:val="5DE74C42"/>
    <w:rsid w:val="5DE81C20"/>
    <w:rsid w:val="5E1B7B71"/>
    <w:rsid w:val="5E1E1829"/>
    <w:rsid w:val="5E320774"/>
    <w:rsid w:val="5E3CB049"/>
    <w:rsid w:val="5E611CCB"/>
    <w:rsid w:val="5E714CB3"/>
    <w:rsid w:val="5E751504"/>
    <w:rsid w:val="5EDB2CA1"/>
    <w:rsid w:val="5EE1B42A"/>
    <w:rsid w:val="5F1F6A1C"/>
    <w:rsid w:val="5F2885B6"/>
    <w:rsid w:val="5F4EC59D"/>
    <w:rsid w:val="5F8C5B29"/>
    <w:rsid w:val="5FA0038D"/>
    <w:rsid w:val="5FA0232E"/>
    <w:rsid w:val="5FD22FD8"/>
    <w:rsid w:val="5FE5171A"/>
    <w:rsid w:val="5FF60716"/>
    <w:rsid w:val="60114805"/>
    <w:rsid w:val="601660E8"/>
    <w:rsid w:val="601831EB"/>
    <w:rsid w:val="602F3AA2"/>
    <w:rsid w:val="60407E45"/>
    <w:rsid w:val="60442864"/>
    <w:rsid w:val="606E5CC8"/>
    <w:rsid w:val="607D848B"/>
    <w:rsid w:val="60DF60FA"/>
    <w:rsid w:val="60E438F6"/>
    <w:rsid w:val="61325F05"/>
    <w:rsid w:val="613801C5"/>
    <w:rsid w:val="613C0A12"/>
    <w:rsid w:val="619508B9"/>
    <w:rsid w:val="61981D74"/>
    <w:rsid w:val="61D6BAE2"/>
    <w:rsid w:val="621E6E07"/>
    <w:rsid w:val="62AF2C89"/>
    <w:rsid w:val="62C32BA5"/>
    <w:rsid w:val="62FF2383"/>
    <w:rsid w:val="6310216C"/>
    <w:rsid w:val="6327E808"/>
    <w:rsid w:val="633AA146"/>
    <w:rsid w:val="634C6F81"/>
    <w:rsid w:val="6392476A"/>
    <w:rsid w:val="63D96FA3"/>
    <w:rsid w:val="647F17DF"/>
    <w:rsid w:val="64ABF1CD"/>
    <w:rsid w:val="64C26AEA"/>
    <w:rsid w:val="64D671A7"/>
    <w:rsid w:val="64EE13EF"/>
    <w:rsid w:val="650E5BA4"/>
    <w:rsid w:val="65146E65"/>
    <w:rsid w:val="651E064E"/>
    <w:rsid w:val="656D4F75"/>
    <w:rsid w:val="6597C73A"/>
    <w:rsid w:val="65B30965"/>
    <w:rsid w:val="66007D67"/>
    <w:rsid w:val="660B3B79"/>
    <w:rsid w:val="6656064F"/>
    <w:rsid w:val="666C6C94"/>
    <w:rsid w:val="667F6771"/>
    <w:rsid w:val="66F3CCEC"/>
    <w:rsid w:val="66FD5574"/>
    <w:rsid w:val="672C7F92"/>
    <w:rsid w:val="67953680"/>
    <w:rsid w:val="67A4431E"/>
    <w:rsid w:val="67AF5CA0"/>
    <w:rsid w:val="67B93270"/>
    <w:rsid w:val="67E9346B"/>
    <w:rsid w:val="67ECAE0A"/>
    <w:rsid w:val="67F9684C"/>
    <w:rsid w:val="682649C9"/>
    <w:rsid w:val="68517281"/>
    <w:rsid w:val="68A0ECA5"/>
    <w:rsid w:val="68BE4135"/>
    <w:rsid w:val="68F11BB7"/>
    <w:rsid w:val="695E0629"/>
    <w:rsid w:val="699610C1"/>
    <w:rsid w:val="69E13FAC"/>
    <w:rsid w:val="6A2B0508"/>
    <w:rsid w:val="6A574D1E"/>
    <w:rsid w:val="6A8A6F62"/>
    <w:rsid w:val="6A8F07EC"/>
    <w:rsid w:val="6A9B19C7"/>
    <w:rsid w:val="6B1B3351"/>
    <w:rsid w:val="6B417F70"/>
    <w:rsid w:val="6B5270EA"/>
    <w:rsid w:val="6B5666F5"/>
    <w:rsid w:val="6B572242"/>
    <w:rsid w:val="6B602992"/>
    <w:rsid w:val="6B79100E"/>
    <w:rsid w:val="6B7B0B93"/>
    <w:rsid w:val="6B7D8026"/>
    <w:rsid w:val="6BD963D2"/>
    <w:rsid w:val="6BF36939"/>
    <w:rsid w:val="6C5727CC"/>
    <w:rsid w:val="6C79329D"/>
    <w:rsid w:val="6CB288AC"/>
    <w:rsid w:val="6CB29864"/>
    <w:rsid w:val="6CCF6D90"/>
    <w:rsid w:val="6CDABF87"/>
    <w:rsid w:val="6CDEAB8A"/>
    <w:rsid w:val="6CE40709"/>
    <w:rsid w:val="6CEB66C0"/>
    <w:rsid w:val="6D200B00"/>
    <w:rsid w:val="6D277FED"/>
    <w:rsid w:val="6D4549E6"/>
    <w:rsid w:val="6DAB702B"/>
    <w:rsid w:val="6E037908"/>
    <w:rsid w:val="6E109FAB"/>
    <w:rsid w:val="6E532CE5"/>
    <w:rsid w:val="6E66E581"/>
    <w:rsid w:val="6E6E34E6"/>
    <w:rsid w:val="6E782058"/>
    <w:rsid w:val="6E969C12"/>
    <w:rsid w:val="6E9858D8"/>
    <w:rsid w:val="6EA8BB6A"/>
    <w:rsid w:val="6EBBDB61"/>
    <w:rsid w:val="6ED3376D"/>
    <w:rsid w:val="6EEA5232"/>
    <w:rsid w:val="6EFA4BB6"/>
    <w:rsid w:val="6F070569"/>
    <w:rsid w:val="6F0F2667"/>
    <w:rsid w:val="6F16824D"/>
    <w:rsid w:val="6F2A4AF9"/>
    <w:rsid w:val="6F2E5A0B"/>
    <w:rsid w:val="6F306EF4"/>
    <w:rsid w:val="6F6F3795"/>
    <w:rsid w:val="6F792572"/>
    <w:rsid w:val="6F852B5A"/>
    <w:rsid w:val="6F9619D1"/>
    <w:rsid w:val="6FBE6927"/>
    <w:rsid w:val="6FCD60A3"/>
    <w:rsid w:val="7094C0A0"/>
    <w:rsid w:val="70A0131A"/>
    <w:rsid w:val="70A5645C"/>
    <w:rsid w:val="71104140"/>
    <w:rsid w:val="712F5AB8"/>
    <w:rsid w:val="716B1B69"/>
    <w:rsid w:val="719A5A6F"/>
    <w:rsid w:val="719E8643"/>
    <w:rsid w:val="71A072FC"/>
    <w:rsid w:val="71A7565C"/>
    <w:rsid w:val="71F37C23"/>
    <w:rsid w:val="72005413"/>
    <w:rsid w:val="724B2FE2"/>
    <w:rsid w:val="727C7BC1"/>
    <w:rsid w:val="72A35F21"/>
    <w:rsid w:val="72AB7608"/>
    <w:rsid w:val="72C36059"/>
    <w:rsid w:val="7317045F"/>
    <w:rsid w:val="73285AF5"/>
    <w:rsid w:val="73371478"/>
    <w:rsid w:val="73491EF0"/>
    <w:rsid w:val="73A42BF7"/>
    <w:rsid w:val="742C4E6F"/>
    <w:rsid w:val="74385006"/>
    <w:rsid w:val="743E10D5"/>
    <w:rsid w:val="744FCF94"/>
    <w:rsid w:val="745942EE"/>
    <w:rsid w:val="745A55F3"/>
    <w:rsid w:val="74701DBE"/>
    <w:rsid w:val="748B34D8"/>
    <w:rsid w:val="749958C6"/>
    <w:rsid w:val="74A86791"/>
    <w:rsid w:val="74F482F7"/>
    <w:rsid w:val="74F657A2"/>
    <w:rsid w:val="7527671A"/>
    <w:rsid w:val="754986D4"/>
    <w:rsid w:val="75847EB1"/>
    <w:rsid w:val="759EF8DD"/>
    <w:rsid w:val="75AED98F"/>
    <w:rsid w:val="75DA47EA"/>
    <w:rsid w:val="75FCB035"/>
    <w:rsid w:val="7625648F"/>
    <w:rsid w:val="765F20E5"/>
    <w:rsid w:val="767B0AF0"/>
    <w:rsid w:val="7696181A"/>
    <w:rsid w:val="76AEC581"/>
    <w:rsid w:val="76D111A2"/>
    <w:rsid w:val="76F10F0C"/>
    <w:rsid w:val="771D60FB"/>
    <w:rsid w:val="77392A14"/>
    <w:rsid w:val="77467F07"/>
    <w:rsid w:val="77E0AB9D"/>
    <w:rsid w:val="77F26BBB"/>
    <w:rsid w:val="783671EF"/>
    <w:rsid w:val="785BB4F6"/>
    <w:rsid w:val="78840895"/>
    <w:rsid w:val="788D434B"/>
    <w:rsid w:val="788D7F63"/>
    <w:rsid w:val="78DAB8D5"/>
    <w:rsid w:val="78DC16BE"/>
    <w:rsid w:val="78F26F7B"/>
    <w:rsid w:val="78F9E42E"/>
    <w:rsid w:val="78FA90D6"/>
    <w:rsid w:val="79063A1D"/>
    <w:rsid w:val="791505C8"/>
    <w:rsid w:val="79245142"/>
    <w:rsid w:val="79345269"/>
    <w:rsid w:val="793C6914"/>
    <w:rsid w:val="794B32EF"/>
    <w:rsid w:val="79546C12"/>
    <w:rsid w:val="79605415"/>
    <w:rsid w:val="79987709"/>
    <w:rsid w:val="79AE5130"/>
    <w:rsid w:val="79B643EB"/>
    <w:rsid w:val="79D21E6C"/>
    <w:rsid w:val="79EB14B4"/>
    <w:rsid w:val="7A001B66"/>
    <w:rsid w:val="7A3F0FED"/>
    <w:rsid w:val="7A6759B1"/>
    <w:rsid w:val="7A70CAD6"/>
    <w:rsid w:val="7A9560A7"/>
    <w:rsid w:val="7B205E2F"/>
    <w:rsid w:val="7B63C47B"/>
    <w:rsid w:val="7B8236A4"/>
    <w:rsid w:val="7B95754E"/>
    <w:rsid w:val="7BA36A76"/>
    <w:rsid w:val="7BD32939"/>
    <w:rsid w:val="7BDC0469"/>
    <w:rsid w:val="7BE83190"/>
    <w:rsid w:val="7BEB7F5D"/>
    <w:rsid w:val="7C19F02A"/>
    <w:rsid w:val="7C3F5465"/>
    <w:rsid w:val="7C5AE179"/>
    <w:rsid w:val="7C886D02"/>
    <w:rsid w:val="7CBB3856"/>
    <w:rsid w:val="7CC93496"/>
    <w:rsid w:val="7D0285A2"/>
    <w:rsid w:val="7D0F0FB9"/>
    <w:rsid w:val="7D377ED9"/>
    <w:rsid w:val="7DAA7070"/>
    <w:rsid w:val="7DB165C4"/>
    <w:rsid w:val="7DEB13D7"/>
    <w:rsid w:val="7DF40A96"/>
    <w:rsid w:val="7E0D5E54"/>
    <w:rsid w:val="7E8C75EF"/>
    <w:rsid w:val="7EF154EA"/>
    <w:rsid w:val="7F5D422B"/>
    <w:rsid w:val="7F736225"/>
    <w:rsid w:val="7F806F6F"/>
    <w:rsid w:val="7FA6140B"/>
    <w:rsid w:val="7FB14DC3"/>
    <w:rsid w:val="7FFE3B8D"/>
    <w:rsid w:val="7FFFB14F"/>
  </w:rsids>
  <m:mathPr>
    <m:mathFont m:val="Cambria Math"/>
    <m:brkBin m:val="before"/>
    <m:brkBinSub m:val="--"/>
    <m:smallFrac m:val="0"/>
    <m:dispDef/>
    <m:lMargin m:val="0"/>
    <m:rMargin m:val="0"/>
    <m:defJc m:val="centerGroup"/>
    <m:wrapIndent m:val="1440"/>
    <m:intLim m:val="subSup"/>
    <m:naryLim m:val="undOvr"/>
  </m:mathPr>
  <w:doNotAutoCompressPictures/>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0" w:name="heading 4"/>
    <w:lsdException w:qFormat="1" w:uiPriority="0" w:name="heading 5"/>
    <w:lsdException w:qFormat="1" w:uiPriority="9"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0" w:name="FollowedHyperlink"/>
    <w:lsdException w:qFormat="1" w:unhideWhenUsed="0" w:uiPriority="22" w:semiHidden="0" w:name="Strong"/>
    <w:lsdException w:qFormat="1" w:unhideWhenUsed="0" w:uiPriority="0" w:semiHidden="0" w:name="Emphasis"/>
    <w:lsdException w:uiPriority="0" w:name="Document Map"/>
    <w:lsdException w:qFormat="1" w:uiPriority="99"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67" w:name="Placeholder Text"/>
    <w:lsdException w:qFormat="1" w:unhideWhenUsed="0" w:uiPriority="34" w:semiHidden="0" w:name="List Paragraph"/>
    <w:lsdException w:qFormat="1" w:unhideWhenUsed="0" w:uiPriority="0" w:semiHidden="0" w:name="Quote"/>
  </w:latentStyles>
  <w:style w:type="paragraph" w:default="1" w:styleId="1">
    <w:name w:val="Normal"/>
    <w:qFormat/>
    <w:uiPriority w:val="0"/>
    <w:rPr>
      <w:rFonts w:ascii="Ecofont_Spranq_eco_Sans" w:hAnsi="Ecofont_Spranq_eco_Sans" w:cs="Tahoma" w:eastAsiaTheme="minorEastAsia"/>
      <w:sz w:val="24"/>
      <w:szCs w:val="24"/>
      <w:lang w:val="pt-BR" w:eastAsia="pt-BR" w:bidi="ar-SA"/>
    </w:rPr>
  </w:style>
  <w:style w:type="paragraph" w:styleId="2">
    <w:name w:val="heading 1"/>
    <w:basedOn w:val="1"/>
    <w:next w:val="1"/>
    <w:link w:val="45"/>
    <w:qFormat/>
    <w:uiPriority w:val="0"/>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28"/>
    <w:qFormat/>
    <w:uiPriority w:val="0"/>
    <w:pPr>
      <w:keepNext/>
      <w:tabs>
        <w:tab w:val="left" w:pos="1701"/>
      </w:tabs>
      <w:ind w:right="-1"/>
      <w:jc w:val="center"/>
      <w:outlineLvl w:val="1"/>
    </w:pPr>
    <w:rPr>
      <w:rFonts w:ascii="Times New Roman" w:hAnsi="Times New Roman" w:cs="Times New Roman"/>
      <w:b/>
      <w:color w:val="000000"/>
      <w:szCs w:val="20"/>
    </w:rPr>
  </w:style>
  <w:style w:type="paragraph" w:styleId="4">
    <w:name w:val="heading 3"/>
    <w:basedOn w:val="1"/>
    <w:next w:val="1"/>
    <w:link w:val="90"/>
    <w:semiHidden/>
    <w:unhideWhenUsed/>
    <w:qFormat/>
    <w:uiPriority w:val="9"/>
    <w:pPr>
      <w:keepNext/>
      <w:keepLines/>
      <w:spacing w:before="40" w:line="259" w:lineRule="auto"/>
      <w:outlineLvl w:val="2"/>
    </w:pPr>
    <w:rPr>
      <w:rFonts w:asciiTheme="majorHAnsi" w:hAnsiTheme="majorHAnsi" w:eastAsiaTheme="majorEastAsia" w:cstheme="majorBidi"/>
      <w:color w:val="254061" w:themeColor="accent1" w:themeShade="80"/>
      <w:lang w:eastAsia="en-US"/>
    </w:rPr>
  </w:style>
  <w:style w:type="paragraph" w:styleId="5">
    <w:name w:val="heading 4"/>
    <w:basedOn w:val="1"/>
    <w:next w:val="1"/>
    <w:link w:val="40"/>
    <w:semiHidden/>
    <w:unhideWhenUsed/>
    <w:qFormat/>
    <w:uiPriority w:val="0"/>
    <w:pPr>
      <w:keepNext/>
      <w:keepLines/>
      <w:spacing w:before="40"/>
      <w:outlineLvl w:val="3"/>
    </w:pPr>
    <w:rPr>
      <w:rFonts w:asciiTheme="majorHAnsi" w:hAnsiTheme="majorHAnsi" w:eastAsiaTheme="majorEastAsia" w:cstheme="majorBidi"/>
      <w:i/>
      <w:iCs/>
      <w:color w:val="376092" w:themeColor="accent1" w:themeShade="BF"/>
    </w:rPr>
  </w:style>
  <w:style w:type="paragraph" w:styleId="6">
    <w:name w:val="heading 6"/>
    <w:basedOn w:val="1"/>
    <w:next w:val="1"/>
    <w:link w:val="91"/>
    <w:semiHidden/>
    <w:unhideWhenUsed/>
    <w:qFormat/>
    <w:uiPriority w:val="9"/>
    <w:pPr>
      <w:keepNext/>
      <w:keepLines/>
      <w:spacing w:before="40" w:line="259" w:lineRule="auto"/>
      <w:outlineLvl w:val="5"/>
    </w:pPr>
    <w:rPr>
      <w:rFonts w:asciiTheme="majorHAnsi" w:hAnsiTheme="majorHAnsi" w:eastAsiaTheme="majorEastAsia" w:cstheme="majorBidi"/>
      <w:color w:val="254061" w:themeColor="accent1" w:themeShade="80"/>
      <w:sz w:val="22"/>
      <w:szCs w:val="22"/>
      <w:lang w:eastAsia="en-US"/>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Strong"/>
    <w:basedOn w:val="7"/>
    <w:qFormat/>
    <w:uiPriority w:val="22"/>
    <w:rPr>
      <w:b/>
      <w:bCs/>
    </w:rPr>
  </w:style>
  <w:style w:type="character" w:styleId="10">
    <w:name w:val="annotation reference"/>
    <w:basedOn w:val="7"/>
    <w:unhideWhenUsed/>
    <w:qFormat/>
    <w:uiPriority w:val="0"/>
    <w:rPr>
      <w:sz w:val="16"/>
      <w:szCs w:val="16"/>
    </w:rPr>
  </w:style>
  <w:style w:type="character" w:styleId="11">
    <w:name w:val="FollowedHyperlink"/>
    <w:basedOn w:val="7"/>
    <w:semiHidden/>
    <w:unhideWhenUsed/>
    <w:qFormat/>
    <w:uiPriority w:val="0"/>
    <w:rPr>
      <w:color w:val="800080" w:themeColor="followedHyperlink"/>
      <w:u w:val="single"/>
      <w14:textFill>
        <w14:solidFill>
          <w14:schemeClr w14:val="folHlink"/>
        </w14:solidFill>
      </w14:textFill>
    </w:rPr>
  </w:style>
  <w:style w:type="character" w:styleId="12">
    <w:name w:val="Emphasis"/>
    <w:basedOn w:val="7"/>
    <w:qFormat/>
    <w:uiPriority w:val="0"/>
    <w:rPr>
      <w:i/>
      <w:iCs/>
    </w:rPr>
  </w:style>
  <w:style w:type="character" w:styleId="13">
    <w:name w:val="Hyperlink"/>
    <w:basedOn w:val="7"/>
    <w:qFormat/>
    <w:uiPriority w:val="99"/>
    <w:rPr>
      <w:color w:val="000080"/>
      <w:u w:val="single"/>
    </w:rPr>
  </w:style>
  <w:style w:type="paragraph" w:styleId="14">
    <w:name w:val="Body Text"/>
    <w:basedOn w:val="1"/>
    <w:link w:val="54"/>
    <w:unhideWhenUsed/>
    <w:qFormat/>
    <w:uiPriority w:val="0"/>
    <w:pPr>
      <w:spacing w:before="100" w:beforeAutospacing="1" w:after="100" w:afterAutospacing="1"/>
    </w:pPr>
    <w:rPr>
      <w:rFonts w:ascii="Times New Roman" w:hAnsi="Times New Roman" w:eastAsia="Times New Roman" w:cs="Times New Roman"/>
    </w:rPr>
  </w:style>
  <w:style w:type="paragraph" w:styleId="15">
    <w:name w:val="annotation text"/>
    <w:basedOn w:val="1"/>
    <w:link w:val="38"/>
    <w:unhideWhenUsed/>
    <w:qFormat/>
    <w:uiPriority w:val="0"/>
    <w:rPr>
      <w:sz w:val="20"/>
      <w:szCs w:val="20"/>
    </w:rPr>
  </w:style>
  <w:style w:type="paragraph" w:styleId="16">
    <w:name w:val="Title"/>
    <w:basedOn w:val="1"/>
    <w:next w:val="1"/>
    <w:link w:val="43"/>
    <w:qFormat/>
    <w:uiPriority w:val="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paragraph" w:styleId="17">
    <w:name w:val="List Bullet 5"/>
    <w:basedOn w:val="1"/>
    <w:qFormat/>
    <w:uiPriority w:val="0"/>
    <w:pPr>
      <w:numPr>
        <w:ilvl w:val="0"/>
        <w:numId w:val="1"/>
      </w:numPr>
      <w:contextualSpacing/>
    </w:pPr>
  </w:style>
  <w:style w:type="paragraph" w:styleId="18">
    <w:name w:val="Normal (Web)"/>
    <w:basedOn w:val="1"/>
    <w:qFormat/>
    <w:uiPriority w:val="99"/>
    <w:pPr>
      <w:spacing w:before="100" w:beforeAutospacing="1" w:after="100" w:afterAutospacing="1"/>
    </w:pPr>
    <w:rPr>
      <w:rFonts w:ascii="Times New Roman" w:hAnsi="Times New Roman" w:cs="Times New Roman"/>
    </w:rPr>
  </w:style>
  <w:style w:type="paragraph" w:styleId="19">
    <w:name w:val="Plain Text"/>
    <w:basedOn w:val="1"/>
    <w:link w:val="129"/>
    <w:semiHidden/>
    <w:unhideWhenUsed/>
    <w:qFormat/>
    <w:uiPriority w:val="99"/>
    <w:rPr>
      <w:rFonts w:ascii="Calibri" w:hAnsi="Calibri" w:eastAsia="Calibri" w:cs="Calibri"/>
      <w:sz w:val="22"/>
      <w:szCs w:val="22"/>
      <w:lang w:eastAsia="en-US"/>
    </w:rPr>
  </w:style>
  <w:style w:type="paragraph" w:styleId="20">
    <w:name w:val="header"/>
    <w:basedOn w:val="1"/>
    <w:link w:val="36"/>
    <w:qFormat/>
    <w:uiPriority w:val="0"/>
    <w:pPr>
      <w:tabs>
        <w:tab w:val="center" w:pos="4252"/>
        <w:tab w:val="right" w:pos="8504"/>
      </w:tabs>
    </w:pPr>
  </w:style>
  <w:style w:type="paragraph" w:styleId="21">
    <w:name w:val="annotation subject"/>
    <w:basedOn w:val="15"/>
    <w:next w:val="15"/>
    <w:link w:val="39"/>
    <w:semiHidden/>
    <w:unhideWhenUsed/>
    <w:qFormat/>
    <w:uiPriority w:val="0"/>
    <w:rPr>
      <w:b/>
      <w:bCs/>
    </w:rPr>
  </w:style>
  <w:style w:type="paragraph" w:styleId="22">
    <w:name w:val="footer"/>
    <w:basedOn w:val="1"/>
    <w:link w:val="37"/>
    <w:qFormat/>
    <w:uiPriority w:val="99"/>
    <w:pPr>
      <w:tabs>
        <w:tab w:val="center" w:pos="4252"/>
        <w:tab w:val="right" w:pos="8504"/>
      </w:tabs>
    </w:pPr>
  </w:style>
  <w:style w:type="paragraph" w:styleId="23">
    <w:name w:val="Balloon Text"/>
    <w:basedOn w:val="1"/>
    <w:link w:val="27"/>
    <w:qFormat/>
    <w:uiPriority w:val="99"/>
    <w:rPr>
      <w:rFonts w:ascii="Tahoma" w:hAnsi="Tahoma"/>
      <w:sz w:val="16"/>
      <w:szCs w:val="16"/>
    </w:rPr>
  </w:style>
  <w:style w:type="paragraph" w:styleId="24">
    <w:name w:val="toc 1"/>
    <w:basedOn w:val="1"/>
    <w:next w:val="1"/>
    <w:unhideWhenUsed/>
    <w:qFormat/>
    <w:uiPriority w:val="39"/>
    <w:pPr>
      <w:tabs>
        <w:tab w:val="left" w:pos="426"/>
        <w:tab w:val="right" w:leader="dot" w:pos="9628"/>
      </w:tabs>
      <w:spacing w:after="100"/>
    </w:pPr>
    <w:rPr>
      <w:rFonts w:ascii="Arial" w:hAnsi="Arial" w:eastAsia="Times New Roman"/>
      <w:sz w:val="20"/>
    </w:rPr>
  </w:style>
  <w:style w:type="table" w:styleId="25">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6">
    <w:name w:val="List Paragraph"/>
    <w:basedOn w:val="1"/>
    <w:link w:val="89"/>
    <w:qFormat/>
    <w:uiPriority w:val="34"/>
    <w:pPr>
      <w:ind w:left="720"/>
      <w:contextualSpacing/>
    </w:pPr>
  </w:style>
  <w:style w:type="character" w:customStyle="1" w:styleId="27">
    <w:name w:val="Texto de balão Char"/>
    <w:link w:val="23"/>
    <w:qFormat/>
    <w:uiPriority w:val="99"/>
    <w:rPr>
      <w:rFonts w:ascii="Tahoma" w:hAnsi="Tahoma" w:cs="Tahoma"/>
      <w:sz w:val="16"/>
      <w:szCs w:val="16"/>
    </w:rPr>
  </w:style>
  <w:style w:type="character" w:customStyle="1" w:styleId="28">
    <w:name w:val="Título 2 Char"/>
    <w:link w:val="3"/>
    <w:qFormat/>
    <w:uiPriority w:val="0"/>
    <w:rPr>
      <w:b/>
      <w:color w:val="000000"/>
      <w:sz w:val="24"/>
    </w:rPr>
  </w:style>
  <w:style w:type="paragraph" w:customStyle="1" w:styleId="29">
    <w:name w:val="Nível 2"/>
    <w:basedOn w:val="1"/>
    <w:next w:val="1"/>
    <w:qFormat/>
    <w:uiPriority w:val="0"/>
    <w:pPr>
      <w:spacing w:after="120"/>
      <w:jc w:val="both"/>
    </w:pPr>
    <w:rPr>
      <w:rFonts w:ascii="Arial" w:hAnsi="Arial" w:cs="Times New Roman"/>
      <w:b/>
      <w:szCs w:val="20"/>
    </w:rPr>
  </w:style>
  <w:style w:type="character" w:customStyle="1" w:styleId="30">
    <w:name w:val="normal__char1"/>
    <w:qFormat/>
    <w:uiPriority w:val="0"/>
    <w:rPr>
      <w:rFonts w:hint="default" w:ascii="Arial" w:hAnsi="Arial" w:cs="Arial"/>
      <w:sz w:val="24"/>
      <w:szCs w:val="24"/>
      <w:u w:val="none"/>
    </w:rPr>
  </w:style>
  <w:style w:type="character" w:customStyle="1" w:styleId="31">
    <w:name w:val="apple-style-span"/>
    <w:basedOn w:val="7"/>
    <w:qFormat/>
    <w:uiPriority w:val="0"/>
  </w:style>
  <w:style w:type="paragraph" w:styleId="32">
    <w:name w:val="Quote"/>
    <w:basedOn w:val="1"/>
    <w:next w:val="1"/>
    <w:link w:val="33"/>
    <w:qFormat/>
    <w:uiPriority w:val="0"/>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i/>
      <w:iCs/>
      <w:color w:val="000000"/>
      <w:sz w:val="20"/>
      <w:lang w:eastAsia="en-US"/>
    </w:rPr>
  </w:style>
  <w:style w:type="character" w:customStyle="1" w:styleId="33">
    <w:name w:val="Citação Char"/>
    <w:link w:val="32"/>
    <w:qFormat/>
    <w:uiPriority w:val="0"/>
    <w:rPr>
      <w:rFonts w:ascii="Arial" w:hAnsi="Arial" w:eastAsia="Calibri" w:cs="Tahoma"/>
      <w:i/>
      <w:iCs/>
      <w:color w:val="000000"/>
      <w:szCs w:val="24"/>
      <w:shd w:val="clear" w:color="auto" w:fill="FFFFCC"/>
    </w:rPr>
  </w:style>
  <w:style w:type="paragraph" w:customStyle="1" w:styleId="34">
    <w:name w:val="Nota explicativa"/>
    <w:basedOn w:val="32"/>
    <w:link w:val="35"/>
    <w:qFormat/>
    <w:uiPriority w:val="0"/>
    <w:rPr>
      <w:szCs w:val="20"/>
    </w:rPr>
  </w:style>
  <w:style w:type="character" w:customStyle="1" w:styleId="35">
    <w:name w:val="Nota explicativa Char"/>
    <w:basedOn w:val="33"/>
    <w:link w:val="34"/>
    <w:qFormat/>
    <w:uiPriority w:val="0"/>
    <w:rPr>
      <w:rFonts w:ascii="Arial" w:hAnsi="Arial" w:eastAsia="Calibri" w:cs="Tahoma"/>
      <w:color w:val="000000"/>
      <w:szCs w:val="24"/>
      <w:shd w:val="clear" w:color="auto" w:fill="FFFFCC"/>
    </w:rPr>
  </w:style>
  <w:style w:type="character" w:customStyle="1" w:styleId="36">
    <w:name w:val="Cabeçalho Char"/>
    <w:link w:val="20"/>
    <w:qFormat/>
    <w:uiPriority w:val="0"/>
    <w:rPr>
      <w:rFonts w:ascii="Ecofont_Spranq_eco_Sans" w:hAnsi="Ecofont_Spranq_eco_Sans" w:cs="Tahoma"/>
      <w:sz w:val="24"/>
      <w:szCs w:val="24"/>
    </w:rPr>
  </w:style>
  <w:style w:type="character" w:customStyle="1" w:styleId="37">
    <w:name w:val="Rodapé Char"/>
    <w:link w:val="22"/>
    <w:qFormat/>
    <w:uiPriority w:val="99"/>
    <w:rPr>
      <w:rFonts w:ascii="Ecofont_Spranq_eco_Sans" w:hAnsi="Ecofont_Spranq_eco_Sans" w:cs="Tahoma"/>
      <w:sz w:val="24"/>
      <w:szCs w:val="24"/>
    </w:rPr>
  </w:style>
  <w:style w:type="character" w:customStyle="1" w:styleId="38">
    <w:name w:val="Texto de comentário Char"/>
    <w:basedOn w:val="7"/>
    <w:link w:val="15"/>
    <w:qFormat/>
    <w:uiPriority w:val="0"/>
    <w:rPr>
      <w:rFonts w:ascii="Ecofont_Spranq_eco_Sans" w:hAnsi="Ecofont_Spranq_eco_Sans" w:cs="Tahoma"/>
      <w:lang w:eastAsia="pt-BR"/>
    </w:rPr>
  </w:style>
  <w:style w:type="character" w:customStyle="1" w:styleId="39">
    <w:name w:val="Assunto do comentário Char"/>
    <w:basedOn w:val="38"/>
    <w:link w:val="21"/>
    <w:semiHidden/>
    <w:qFormat/>
    <w:uiPriority w:val="0"/>
    <w:rPr>
      <w:rFonts w:ascii="Ecofont_Spranq_eco_Sans" w:hAnsi="Ecofont_Spranq_eco_Sans" w:cs="Tahoma"/>
      <w:b/>
      <w:bCs/>
      <w:lang w:eastAsia="pt-BR"/>
    </w:rPr>
  </w:style>
  <w:style w:type="character" w:customStyle="1" w:styleId="40">
    <w:name w:val="Título 4 Char"/>
    <w:basedOn w:val="7"/>
    <w:link w:val="5"/>
    <w:qFormat/>
    <w:uiPriority w:val="0"/>
    <w:rPr>
      <w:rFonts w:asciiTheme="majorHAnsi" w:hAnsiTheme="majorHAnsi" w:eastAsiaTheme="majorEastAsia" w:cstheme="majorBidi"/>
      <w:i/>
      <w:iCs/>
      <w:color w:val="376092" w:themeColor="accent1" w:themeShade="BF"/>
      <w:sz w:val="24"/>
      <w:szCs w:val="24"/>
      <w:lang w:eastAsia="pt-BR"/>
    </w:rPr>
  </w:style>
  <w:style w:type="paragraph" w:customStyle="1" w:styleId="41">
    <w:name w:val="Nivel 01"/>
    <w:basedOn w:val="2"/>
    <w:next w:val="1"/>
    <w:link w:val="44"/>
    <w:qFormat/>
    <w:uiPriority w:val="0"/>
    <w:pPr>
      <w:numPr>
        <w:ilvl w:val="0"/>
        <w:numId w:val="2"/>
      </w:numPr>
      <w:tabs>
        <w:tab w:val="left" w:pos="567"/>
      </w:tabs>
      <w:spacing w:before="240"/>
      <w:jc w:val="both"/>
    </w:pPr>
    <w:rPr>
      <w:rFonts w:ascii="Arial" w:hAnsi="Arial" w:cs="Arial"/>
      <w:color w:val="auto"/>
      <w:sz w:val="20"/>
      <w:szCs w:val="20"/>
    </w:rPr>
  </w:style>
  <w:style w:type="paragraph" w:customStyle="1" w:styleId="42">
    <w:name w:val="Nivel_01_Titulo"/>
    <w:basedOn w:val="41"/>
    <w:link w:val="46"/>
    <w:qFormat/>
    <w:uiPriority w:val="0"/>
    <w:pPr>
      <w:jc w:val="left"/>
    </w:pPr>
    <w:rPr>
      <w:rFonts w:cstheme="majorBidi"/>
      <w:color w:val="000000" w:themeColor="text1"/>
      <w:spacing w:val="5"/>
      <w:kern w:val="28"/>
      <w:sz w:val="52"/>
      <w:szCs w:val="52"/>
      <w14:textFill>
        <w14:solidFill>
          <w14:schemeClr w14:val="tx1"/>
        </w14:solidFill>
      </w14:textFill>
    </w:rPr>
  </w:style>
  <w:style w:type="character" w:customStyle="1" w:styleId="43">
    <w:name w:val="Título Char"/>
    <w:basedOn w:val="7"/>
    <w:link w:val="16"/>
    <w:qFormat/>
    <w:uiPriority w:val="0"/>
    <w:rPr>
      <w:rFonts w:asciiTheme="majorHAnsi" w:hAnsiTheme="majorHAnsi" w:eastAsiaTheme="majorEastAsia" w:cstheme="majorBidi"/>
      <w:color w:val="17375E" w:themeColor="text2" w:themeShade="BF"/>
      <w:spacing w:val="5"/>
      <w:kern w:val="28"/>
      <w:sz w:val="52"/>
      <w:szCs w:val="52"/>
      <w:lang w:eastAsia="pt-BR"/>
    </w:rPr>
  </w:style>
  <w:style w:type="character" w:customStyle="1" w:styleId="44">
    <w:name w:val="Nivel 01 Char"/>
    <w:basedOn w:val="43"/>
    <w:link w:val="41"/>
    <w:qFormat/>
    <w:uiPriority w:val="0"/>
    <w:rPr>
      <w:rFonts w:ascii="Arial" w:hAnsi="Arial" w:cs="Arial" w:eastAsiaTheme="majorEastAsia"/>
      <w:b/>
      <w:bCs/>
      <w:color w:val="17375E" w:themeColor="text2" w:themeShade="BF"/>
      <w:spacing w:val="5"/>
      <w:kern w:val="28"/>
      <w:sz w:val="52"/>
      <w:szCs w:val="52"/>
      <w:lang w:eastAsia="pt-BR"/>
    </w:rPr>
  </w:style>
  <w:style w:type="character" w:customStyle="1" w:styleId="45">
    <w:name w:val="Título 1 Char"/>
    <w:basedOn w:val="7"/>
    <w:link w:val="2"/>
    <w:qFormat/>
    <w:uiPriority w:val="0"/>
    <w:rPr>
      <w:rFonts w:asciiTheme="majorHAnsi" w:hAnsiTheme="majorHAnsi" w:eastAsiaTheme="majorEastAsia" w:cstheme="majorBidi"/>
      <w:b/>
      <w:bCs/>
      <w:color w:val="376092" w:themeColor="accent1" w:themeShade="BF"/>
      <w:sz w:val="28"/>
      <w:szCs w:val="28"/>
      <w:lang w:eastAsia="pt-BR"/>
    </w:rPr>
  </w:style>
  <w:style w:type="character" w:customStyle="1" w:styleId="46">
    <w:name w:val="Nivel_01_Titulo Char"/>
    <w:basedOn w:val="44"/>
    <w:link w:val="42"/>
    <w:qFormat/>
    <w:uiPriority w:val="0"/>
    <w:rPr>
      <w:rFonts w:ascii="Arial" w:hAnsi="Arial" w:eastAsiaTheme="majorEastAsia" w:cstheme="majorBidi"/>
      <w:color w:val="000000" w:themeColor="text1"/>
      <w:spacing w:val="5"/>
      <w:kern w:val="28"/>
      <w:sz w:val="52"/>
      <w:szCs w:val="52"/>
      <w:lang w:eastAsia="pt-BR"/>
      <w14:textFill>
        <w14:solidFill>
          <w14:schemeClr w14:val="tx1"/>
        </w14:solidFill>
      </w14:textFill>
    </w:rPr>
  </w:style>
  <w:style w:type="paragraph" w:customStyle="1" w:styleId="47">
    <w:name w:val="PADRÃO"/>
    <w:qFormat/>
    <w:uiPriority w:val="0"/>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val="pt-BR" w:eastAsia="zh-CN" w:bidi="hi-IN"/>
    </w:rPr>
  </w:style>
  <w:style w:type="character" w:customStyle="1" w:styleId="48">
    <w:name w:val="Quote Char"/>
    <w:basedOn w:val="7"/>
    <w:link w:val="49"/>
    <w:qFormat/>
    <w:uiPriority w:val="0"/>
    <w:rPr>
      <w:rFonts w:ascii="Ecofont_Spranq_eco_Sans" w:hAnsi="Ecofont_Spranq_eco_Sans" w:eastAsia="Calibri" w:cs="Tahoma"/>
      <w:i/>
      <w:iCs/>
      <w:color w:val="000000"/>
      <w:shd w:val="clear" w:color="auto" w:fill="FFFFCC"/>
    </w:rPr>
  </w:style>
  <w:style w:type="paragraph" w:customStyle="1" w:styleId="49">
    <w:name w:val="Citação1"/>
    <w:basedOn w:val="1"/>
    <w:next w:val="1"/>
    <w:link w:val="48"/>
    <w:qFormat/>
    <w:uiPriority w:val="0"/>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eastAsia="Calibri"/>
      <w:i/>
      <w:iCs/>
      <w:color w:val="000000"/>
      <w:sz w:val="20"/>
      <w:szCs w:val="20"/>
      <w:lang w:eastAsia="en-US"/>
    </w:rPr>
  </w:style>
  <w:style w:type="paragraph" w:customStyle="1" w:styleId="50">
    <w:name w:val="paragraph"/>
    <w:basedOn w:val="1"/>
    <w:qFormat/>
    <w:uiPriority w:val="0"/>
    <w:pPr>
      <w:spacing w:before="100" w:beforeAutospacing="1" w:after="100" w:afterAutospacing="1"/>
    </w:pPr>
    <w:rPr>
      <w:rFonts w:ascii="Times New Roman" w:hAnsi="Times New Roman" w:eastAsia="Times New Roman" w:cs="Times New Roman"/>
    </w:rPr>
  </w:style>
  <w:style w:type="character" w:customStyle="1" w:styleId="51">
    <w:name w:val="normaltextrun"/>
    <w:basedOn w:val="7"/>
    <w:qFormat/>
    <w:uiPriority w:val="0"/>
  </w:style>
  <w:style w:type="character" w:customStyle="1" w:styleId="52">
    <w:name w:val="eop"/>
    <w:basedOn w:val="7"/>
    <w:qFormat/>
    <w:uiPriority w:val="0"/>
  </w:style>
  <w:style w:type="character" w:customStyle="1" w:styleId="53">
    <w:name w:val="spellingerror"/>
    <w:basedOn w:val="7"/>
    <w:qFormat/>
    <w:uiPriority w:val="0"/>
  </w:style>
  <w:style w:type="character" w:customStyle="1" w:styleId="54">
    <w:name w:val="Corpo de texto Char"/>
    <w:basedOn w:val="7"/>
    <w:link w:val="14"/>
    <w:qFormat/>
    <w:uiPriority w:val="0"/>
    <w:rPr>
      <w:rFonts w:eastAsia="Times New Roman"/>
      <w:sz w:val="24"/>
      <w:szCs w:val="24"/>
      <w:lang w:eastAsia="pt-BR"/>
    </w:rPr>
  </w:style>
  <w:style w:type="paragraph" w:customStyle="1" w:styleId="55">
    <w:name w:val="Nivel1"/>
    <w:basedOn w:val="2"/>
    <w:link w:val="56"/>
    <w:qFormat/>
    <w:uiPriority w:val="0"/>
    <w:pPr>
      <w:spacing w:line="276" w:lineRule="auto"/>
      <w:ind w:left="357" w:hanging="357"/>
      <w:jc w:val="both"/>
    </w:pPr>
    <w:rPr>
      <w:rFonts w:ascii="Arial" w:hAnsi="Arial" w:cs="Arial"/>
      <w:bCs w:val="0"/>
      <w:color w:val="000000"/>
    </w:rPr>
  </w:style>
  <w:style w:type="character" w:customStyle="1" w:styleId="56">
    <w:name w:val="Nivel1 Char"/>
    <w:basedOn w:val="45"/>
    <w:link w:val="55"/>
    <w:qFormat/>
    <w:uiPriority w:val="0"/>
    <w:rPr>
      <w:rFonts w:ascii="Arial" w:hAnsi="Arial" w:cs="Arial" w:eastAsiaTheme="majorEastAsia"/>
      <w:bCs w:val="0"/>
      <w:color w:val="000000"/>
      <w:sz w:val="28"/>
      <w:szCs w:val="28"/>
      <w:lang w:eastAsia="pt-BR"/>
    </w:rPr>
  </w:style>
  <w:style w:type="paragraph" w:customStyle="1" w:styleId="57">
    <w:name w:val="Parágrafo da Lista1"/>
    <w:basedOn w:val="1"/>
    <w:qFormat/>
    <w:uiPriority w:val="0"/>
    <w:pPr>
      <w:ind w:left="720"/>
    </w:pPr>
    <w:rPr>
      <w:rFonts w:eastAsia="Times New Roman" w:cs="Ecofont_Spranq_eco_Sans"/>
    </w:rPr>
  </w:style>
  <w:style w:type="paragraph" w:customStyle="1" w:styleId="58">
    <w:name w:val="Nivel 2"/>
    <w:basedOn w:val="1"/>
    <w:link w:val="83"/>
    <w:qFormat/>
    <w:uiPriority w:val="0"/>
    <w:pPr>
      <w:numPr>
        <w:ilvl w:val="1"/>
        <w:numId w:val="2"/>
      </w:numPr>
      <w:spacing w:before="120" w:after="120" w:line="276" w:lineRule="auto"/>
      <w:jc w:val="both"/>
    </w:pPr>
    <w:rPr>
      <w:rFonts w:ascii="Arial" w:hAnsi="Arial" w:cs="Arial"/>
      <w:color w:val="000000"/>
      <w:sz w:val="20"/>
      <w:szCs w:val="20"/>
    </w:rPr>
  </w:style>
  <w:style w:type="paragraph" w:customStyle="1" w:styleId="59">
    <w:name w:val="Nivel 1"/>
    <w:basedOn w:val="58"/>
    <w:next w:val="58"/>
    <w:qFormat/>
    <w:uiPriority w:val="0"/>
    <w:pPr>
      <w:numPr>
        <w:ilvl w:val="0"/>
        <w:numId w:val="0"/>
      </w:numPr>
      <w:ind w:left="360" w:hanging="360"/>
    </w:pPr>
    <w:rPr>
      <w:b/>
    </w:rPr>
  </w:style>
  <w:style w:type="paragraph" w:customStyle="1" w:styleId="60">
    <w:name w:val="Nivel 3"/>
    <w:basedOn w:val="1"/>
    <w:link w:val="109"/>
    <w:qFormat/>
    <w:uiPriority w:val="0"/>
    <w:pPr>
      <w:numPr>
        <w:ilvl w:val="2"/>
        <w:numId w:val="2"/>
      </w:numPr>
      <w:spacing w:before="120" w:after="120" w:line="276" w:lineRule="auto"/>
      <w:ind w:left="425" w:firstLine="0"/>
      <w:jc w:val="both"/>
    </w:pPr>
    <w:rPr>
      <w:rFonts w:ascii="Arial" w:hAnsi="Arial" w:cs="Arial"/>
      <w:color w:val="000000"/>
      <w:sz w:val="20"/>
      <w:szCs w:val="20"/>
    </w:rPr>
  </w:style>
  <w:style w:type="paragraph" w:customStyle="1" w:styleId="61">
    <w:name w:val="Nivel 4"/>
    <w:basedOn w:val="60"/>
    <w:link w:val="63"/>
    <w:qFormat/>
    <w:uiPriority w:val="0"/>
    <w:pPr>
      <w:numPr>
        <w:ilvl w:val="3"/>
      </w:numPr>
      <w:ind w:left="851" w:firstLine="0"/>
    </w:pPr>
    <w:rPr>
      <w:color w:val="auto"/>
    </w:rPr>
  </w:style>
  <w:style w:type="paragraph" w:customStyle="1" w:styleId="62">
    <w:name w:val="Nivel 5"/>
    <w:basedOn w:val="61"/>
    <w:qFormat/>
    <w:uiPriority w:val="0"/>
    <w:pPr>
      <w:numPr>
        <w:ilvl w:val="4"/>
      </w:numPr>
      <w:ind w:left="1276" w:firstLine="0"/>
    </w:pPr>
  </w:style>
  <w:style w:type="character" w:customStyle="1" w:styleId="63">
    <w:name w:val="Nivel 4 Char"/>
    <w:basedOn w:val="7"/>
    <w:link w:val="61"/>
    <w:qFormat/>
    <w:uiPriority w:val="0"/>
    <w:rPr>
      <w:rFonts w:ascii="Arial" w:hAnsi="Arial" w:cs="Arial"/>
      <w:lang w:eastAsia="pt-BR"/>
    </w:rPr>
  </w:style>
  <w:style w:type="paragraph" w:customStyle="1" w:styleId="64">
    <w:name w:val="textbody"/>
    <w:basedOn w:val="1"/>
    <w:qFormat/>
    <w:uiPriority w:val="0"/>
    <w:pPr>
      <w:spacing w:before="100" w:beforeAutospacing="1" w:after="100" w:afterAutospacing="1"/>
    </w:pPr>
    <w:rPr>
      <w:rFonts w:ascii="Times New Roman" w:hAnsi="Times New Roman" w:eastAsia="Times New Roman" w:cs="Times New Roman"/>
    </w:rPr>
  </w:style>
  <w:style w:type="paragraph" w:customStyle="1" w:styleId="65">
    <w:name w:val="em_0020ementa"/>
    <w:basedOn w:val="1"/>
    <w:qFormat/>
    <w:uiPriority w:val="0"/>
    <w:pPr>
      <w:ind w:left="4160"/>
      <w:jc w:val="both"/>
    </w:pPr>
    <w:rPr>
      <w:rFonts w:ascii="Times New Roman" w:hAnsi="Times New Roman" w:eastAsia="Times New Roman" w:cs="Times New Roman"/>
      <w:sz w:val="28"/>
      <w:szCs w:val="28"/>
    </w:rPr>
  </w:style>
  <w:style w:type="character" w:customStyle="1" w:styleId="66">
    <w:name w:val="cp_0020corpodespacho__char1"/>
    <w:qFormat/>
    <w:uiPriority w:val="0"/>
    <w:rPr>
      <w:rFonts w:hint="default" w:ascii="Times New Roman" w:hAnsi="Times New Roman" w:cs="Times New Roman"/>
      <w:sz w:val="26"/>
      <w:szCs w:val="26"/>
      <w:u w:val="none"/>
    </w:rPr>
  </w:style>
  <w:style w:type="character" w:customStyle="1" w:styleId="67">
    <w:name w:val="em_0020ementa__char1"/>
    <w:qFormat/>
    <w:uiPriority w:val="0"/>
    <w:rPr>
      <w:rFonts w:hint="default" w:ascii="Times New Roman" w:hAnsi="Times New Roman" w:cs="Times New Roman"/>
      <w:sz w:val="28"/>
      <w:szCs w:val="28"/>
      <w:u w:val="none"/>
    </w:rPr>
  </w:style>
  <w:style w:type="paragraph" w:customStyle="1" w:styleId="68">
    <w:name w:val="Revision"/>
    <w:hidden/>
    <w:semiHidden/>
    <w:qFormat/>
    <w:uiPriority w:val="99"/>
    <w:rPr>
      <w:rFonts w:ascii="Ecofont_Spranq_eco_Sans" w:hAnsi="Ecofont_Spranq_eco_Sans" w:eastAsia="Times New Roman" w:cs="Tahoma"/>
      <w:sz w:val="24"/>
      <w:szCs w:val="24"/>
      <w:lang w:val="pt-BR" w:eastAsia="pt-BR" w:bidi="ar-SA"/>
    </w:rPr>
  </w:style>
  <w:style w:type="character" w:customStyle="1" w:styleId="69">
    <w:name w:val="Manoel"/>
    <w:qFormat/>
    <w:uiPriority w:val="0"/>
    <w:rPr>
      <w:rFonts w:ascii="Arial" w:hAnsi="Arial" w:cs="Arial"/>
      <w:color w:val="7030A0"/>
      <w:sz w:val="20"/>
    </w:rPr>
  </w:style>
  <w:style w:type="character" w:customStyle="1" w:styleId="70">
    <w:name w:val="ListLabel 12"/>
    <w:qFormat/>
    <w:uiPriority w:val="0"/>
    <w:rPr>
      <w:b/>
    </w:rPr>
  </w:style>
  <w:style w:type="paragraph" w:customStyle="1" w:styleId="71">
    <w:name w:val="texto1"/>
    <w:basedOn w:val="1"/>
    <w:qFormat/>
    <w:uiPriority w:val="0"/>
    <w:pPr>
      <w:spacing w:before="100" w:beforeAutospacing="1" w:after="100" w:afterAutospacing="1"/>
    </w:pPr>
    <w:rPr>
      <w:rFonts w:ascii="Times New Roman" w:hAnsi="Times New Roman" w:eastAsia="Times New Roman" w:cs="Times New Roman"/>
    </w:rPr>
  </w:style>
  <w:style w:type="paragraph" w:customStyle="1" w:styleId="72">
    <w:name w:val="Grade Colorida - Ênfase 11"/>
    <w:basedOn w:val="1"/>
    <w:next w:val="1"/>
    <w:link w:val="73"/>
    <w:qFormat/>
    <w:uiPriority w:val="29"/>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cs="Times New Roman"/>
      <w:i/>
      <w:iCs/>
      <w:color w:val="000000"/>
      <w:sz w:val="20"/>
      <w:lang w:eastAsia="en-US"/>
    </w:rPr>
  </w:style>
  <w:style w:type="character" w:customStyle="1" w:styleId="73">
    <w:name w:val="Grade Colorida - Ênfase 1 Char"/>
    <w:link w:val="72"/>
    <w:qFormat/>
    <w:uiPriority w:val="29"/>
    <w:rPr>
      <w:rFonts w:ascii="Arial" w:hAnsi="Arial" w:eastAsia="Calibri"/>
      <w:i/>
      <w:iCs/>
      <w:color w:val="000000"/>
      <w:szCs w:val="24"/>
      <w:shd w:val="clear" w:color="auto" w:fill="FFFFCC"/>
    </w:rPr>
  </w:style>
  <w:style w:type="paragraph" w:customStyle="1" w:styleId="74">
    <w:name w:val="x_western"/>
    <w:basedOn w:val="1"/>
    <w:qFormat/>
    <w:uiPriority w:val="0"/>
    <w:pPr>
      <w:spacing w:before="100" w:beforeAutospacing="1" w:after="100" w:afterAutospacing="1"/>
    </w:pPr>
    <w:rPr>
      <w:rFonts w:ascii="Times New Roman" w:hAnsi="Times New Roman" w:eastAsia="Times New Roman" w:cs="Times New Roman"/>
    </w:rPr>
  </w:style>
  <w:style w:type="paragraph" w:customStyle="1" w:styleId="75">
    <w:name w:val="TCU - Ac - item 9 - §§_0"/>
    <w:basedOn w:val="1"/>
    <w:qFormat/>
    <w:uiPriority w:val="0"/>
    <w:pPr>
      <w:ind w:firstLine="1134"/>
      <w:jc w:val="both"/>
    </w:pPr>
    <w:rPr>
      <w:rFonts w:ascii="Times New Roman" w:hAnsi="Times New Roman" w:eastAsia="Times New Roman" w:cs="Times New Roman"/>
      <w:szCs w:val="22"/>
      <w:lang w:eastAsia="en-US"/>
    </w:rPr>
  </w:style>
  <w:style w:type="paragraph" w:customStyle="1" w:styleId="76">
    <w:name w:val="Normal_1"/>
    <w:qFormat/>
    <w:uiPriority w:val="0"/>
    <w:rPr>
      <w:rFonts w:ascii="Times New Roman" w:hAnsi="Times New Roman" w:eastAsia="Times New Roman" w:cs="Times New Roman"/>
      <w:sz w:val="24"/>
      <w:szCs w:val="22"/>
      <w:lang w:val="pt-BR" w:eastAsia="en-US" w:bidi="ar-SA"/>
    </w:rPr>
  </w:style>
  <w:style w:type="paragraph" w:customStyle="1" w:styleId="77">
    <w:name w:val="tcu_-__ac_-_item_9_-_1ª_linha"/>
    <w:basedOn w:val="1"/>
    <w:qFormat/>
    <w:uiPriority w:val="0"/>
    <w:pPr>
      <w:spacing w:before="100" w:beforeAutospacing="1" w:after="100" w:afterAutospacing="1"/>
    </w:pPr>
    <w:rPr>
      <w:rFonts w:ascii="Times New Roman" w:hAnsi="Times New Roman" w:eastAsia="Times New Roman" w:cs="Times New Roman"/>
    </w:rPr>
  </w:style>
  <w:style w:type="paragraph" w:customStyle="1" w:styleId="78">
    <w:name w:val="texto_justificado_recuo_primeira_linha"/>
    <w:basedOn w:val="1"/>
    <w:qFormat/>
    <w:uiPriority w:val="0"/>
    <w:pPr>
      <w:spacing w:before="100" w:beforeAutospacing="1" w:after="100" w:afterAutospacing="1"/>
    </w:pPr>
    <w:rPr>
      <w:rFonts w:ascii="Times New Roman" w:hAnsi="Times New Roman" w:eastAsia="Times New Roman" w:cs="Times New Roman"/>
    </w:rPr>
  </w:style>
  <w:style w:type="character" w:customStyle="1" w:styleId="79">
    <w:name w:val="highlight"/>
    <w:basedOn w:val="7"/>
    <w:qFormat/>
    <w:uiPriority w:val="0"/>
  </w:style>
  <w:style w:type="paragraph" w:customStyle="1" w:styleId="80">
    <w:name w:val="texto_justificado"/>
    <w:basedOn w:val="1"/>
    <w:qFormat/>
    <w:uiPriority w:val="0"/>
    <w:pPr>
      <w:spacing w:before="100" w:beforeAutospacing="1" w:after="100" w:afterAutospacing="1"/>
    </w:pPr>
    <w:rPr>
      <w:rFonts w:ascii="Times New Roman" w:hAnsi="Times New Roman" w:eastAsia="Times New Roman" w:cs="Times New Roman"/>
    </w:rPr>
  </w:style>
  <w:style w:type="character" w:customStyle="1" w:styleId="81">
    <w:name w:val="Menção Pendente1"/>
    <w:basedOn w:val="7"/>
    <w:semiHidden/>
    <w:unhideWhenUsed/>
    <w:qFormat/>
    <w:uiPriority w:val="99"/>
    <w:rPr>
      <w:color w:val="605E5C"/>
      <w:shd w:val="clear" w:color="auto" w:fill="E1DFDD"/>
    </w:rPr>
  </w:style>
  <w:style w:type="character" w:customStyle="1" w:styleId="82">
    <w:name w:val="Menção Pendente2"/>
    <w:basedOn w:val="7"/>
    <w:semiHidden/>
    <w:unhideWhenUsed/>
    <w:qFormat/>
    <w:uiPriority w:val="99"/>
    <w:rPr>
      <w:color w:val="605E5C"/>
      <w:shd w:val="clear" w:color="auto" w:fill="E1DFDD"/>
    </w:rPr>
  </w:style>
  <w:style w:type="character" w:customStyle="1" w:styleId="83">
    <w:name w:val="Nivel 2 Char"/>
    <w:basedOn w:val="7"/>
    <w:link w:val="58"/>
    <w:qFormat/>
    <w:locked/>
    <w:uiPriority w:val="0"/>
    <w:rPr>
      <w:rFonts w:ascii="Arial" w:hAnsi="Arial" w:cs="Arial"/>
      <w:color w:val="000000"/>
      <w:lang w:eastAsia="pt-BR"/>
    </w:rPr>
  </w:style>
  <w:style w:type="paragraph" w:customStyle="1" w:styleId="84">
    <w:name w:val="Nível 2 Opcional"/>
    <w:basedOn w:val="58"/>
    <w:link w:val="86"/>
    <w:qFormat/>
    <w:uiPriority w:val="0"/>
    <w:pPr>
      <w:numPr>
        <w:ilvl w:val="0"/>
        <w:numId w:val="0"/>
      </w:numPr>
      <w:ind w:left="432" w:hanging="432"/>
    </w:pPr>
    <w:rPr>
      <w:rFonts w:eastAsia="Times New Roman"/>
      <w:i/>
      <w:color w:val="FF0000"/>
    </w:rPr>
  </w:style>
  <w:style w:type="paragraph" w:customStyle="1" w:styleId="85">
    <w:name w:val="Nível 3 Opcional"/>
    <w:basedOn w:val="60"/>
    <w:link w:val="87"/>
    <w:qFormat/>
    <w:uiPriority w:val="0"/>
    <w:pPr>
      <w:numPr>
        <w:ilvl w:val="0"/>
        <w:numId w:val="0"/>
      </w:numPr>
      <w:ind w:left="1072" w:hanging="504"/>
    </w:pPr>
    <w:rPr>
      <w:rFonts w:eastAsia="Times New Roman"/>
      <w:i/>
      <w:iCs/>
      <w:color w:val="FF0000"/>
    </w:rPr>
  </w:style>
  <w:style w:type="character" w:customStyle="1" w:styleId="86">
    <w:name w:val="Nível 2 Opcional Char"/>
    <w:basedOn w:val="7"/>
    <w:link w:val="84"/>
    <w:qFormat/>
    <w:uiPriority w:val="0"/>
    <w:rPr>
      <w:rFonts w:ascii="Arial" w:hAnsi="Arial" w:eastAsia="Times New Roman" w:cs="Arial"/>
      <w:i/>
      <w:color w:val="FF0000"/>
      <w:lang w:eastAsia="pt-BR"/>
    </w:rPr>
  </w:style>
  <w:style w:type="character" w:customStyle="1" w:styleId="87">
    <w:name w:val="Nível 3 Opcional Char"/>
    <w:basedOn w:val="7"/>
    <w:link w:val="85"/>
    <w:qFormat/>
    <w:uiPriority w:val="0"/>
    <w:rPr>
      <w:rFonts w:ascii="Arial" w:hAnsi="Arial" w:eastAsia="Times New Roman" w:cs="Arial"/>
      <w:i/>
      <w:iCs/>
      <w:color w:val="FF0000"/>
      <w:lang w:eastAsia="pt-BR"/>
    </w:rPr>
  </w:style>
  <w:style w:type="character" w:styleId="88">
    <w:name w:val="Placeholder Text"/>
    <w:basedOn w:val="7"/>
    <w:semiHidden/>
    <w:qFormat/>
    <w:uiPriority w:val="67"/>
    <w:rPr>
      <w:color w:val="808080"/>
    </w:rPr>
  </w:style>
  <w:style w:type="character" w:customStyle="1" w:styleId="89">
    <w:name w:val="Parágrafo da Lista Char"/>
    <w:basedOn w:val="7"/>
    <w:link w:val="26"/>
    <w:qFormat/>
    <w:uiPriority w:val="34"/>
    <w:rPr>
      <w:rFonts w:ascii="Ecofont_Spranq_eco_Sans" w:hAnsi="Ecofont_Spranq_eco_Sans" w:cs="Tahoma"/>
      <w:sz w:val="24"/>
      <w:szCs w:val="24"/>
      <w:lang w:eastAsia="pt-BR"/>
    </w:rPr>
  </w:style>
  <w:style w:type="character" w:customStyle="1" w:styleId="90">
    <w:name w:val="Título 3 Char"/>
    <w:basedOn w:val="7"/>
    <w:link w:val="4"/>
    <w:semiHidden/>
    <w:qFormat/>
    <w:uiPriority w:val="9"/>
    <w:rPr>
      <w:rFonts w:asciiTheme="majorHAnsi" w:hAnsiTheme="majorHAnsi" w:eastAsiaTheme="majorEastAsia" w:cstheme="majorBidi"/>
      <w:color w:val="254061" w:themeColor="accent1" w:themeShade="80"/>
      <w:sz w:val="24"/>
      <w:szCs w:val="24"/>
    </w:rPr>
  </w:style>
  <w:style w:type="character" w:customStyle="1" w:styleId="91">
    <w:name w:val="Título 6 Char"/>
    <w:basedOn w:val="7"/>
    <w:link w:val="6"/>
    <w:semiHidden/>
    <w:qFormat/>
    <w:uiPriority w:val="9"/>
    <w:rPr>
      <w:rFonts w:asciiTheme="majorHAnsi" w:hAnsiTheme="majorHAnsi" w:eastAsiaTheme="majorEastAsia" w:cstheme="majorBidi"/>
      <w:color w:val="254061" w:themeColor="accent1" w:themeShade="80"/>
      <w:sz w:val="22"/>
      <w:szCs w:val="22"/>
    </w:rPr>
  </w:style>
  <w:style w:type="paragraph" w:customStyle="1" w:styleId="92">
    <w:name w:val="Sombreamento Médio 1 - Ênfase 31"/>
    <w:basedOn w:val="1"/>
    <w:next w:val="1"/>
    <w:qFormat/>
    <w:uiPriority w:val="0"/>
    <w:pPr>
      <w:pBdr>
        <w:top w:val="single" w:color="000080" w:sz="4" w:space="1"/>
        <w:left w:val="single" w:color="000080" w:sz="4" w:space="4"/>
        <w:bottom w:val="single" w:color="000080" w:sz="4" w:space="1"/>
        <w:right w:val="single" w:color="000080" w:sz="4" w:space="4"/>
      </w:pBdr>
      <w:shd w:val="clear" w:color="auto" w:fill="FFFFCC"/>
      <w:suppressAutoHyphens/>
      <w:spacing w:before="120"/>
      <w:jc w:val="both"/>
    </w:pPr>
    <w:rPr>
      <w:rFonts w:eastAsia="Calibri"/>
      <w:i/>
      <w:iCs/>
      <w:color w:val="000000"/>
      <w:sz w:val="20"/>
      <w:lang w:eastAsia="zh-CN"/>
    </w:rPr>
  </w:style>
  <w:style w:type="paragraph" w:customStyle="1" w:styleId="93">
    <w:name w:val="corpo"/>
    <w:basedOn w:val="1"/>
    <w:qFormat/>
    <w:uiPriority w:val="0"/>
    <w:pPr>
      <w:spacing w:before="100" w:beforeAutospacing="1" w:after="100" w:afterAutospacing="1"/>
    </w:pPr>
    <w:rPr>
      <w:rFonts w:ascii="Times New Roman" w:hAnsi="Times New Roman" w:eastAsia="Times New Roman" w:cs="Times New Roman"/>
    </w:rPr>
  </w:style>
  <w:style w:type="paragraph" w:customStyle="1" w:styleId="94">
    <w:name w:val="item_nivel2"/>
    <w:basedOn w:val="1"/>
    <w:qFormat/>
    <w:uiPriority w:val="0"/>
    <w:pPr>
      <w:spacing w:before="100" w:beforeAutospacing="1" w:after="100" w:afterAutospacing="1"/>
    </w:pPr>
    <w:rPr>
      <w:rFonts w:ascii="Times New Roman" w:hAnsi="Times New Roman" w:eastAsia="Times New Roman" w:cs="Times New Roman"/>
    </w:rPr>
  </w:style>
  <w:style w:type="paragraph" w:customStyle="1" w:styleId="95">
    <w:name w:val="item_nivel1"/>
    <w:basedOn w:val="1"/>
    <w:qFormat/>
    <w:uiPriority w:val="0"/>
    <w:pPr>
      <w:spacing w:before="100" w:beforeAutospacing="1" w:after="100" w:afterAutospacing="1"/>
    </w:pPr>
    <w:rPr>
      <w:rFonts w:ascii="Times New Roman" w:hAnsi="Times New Roman" w:eastAsia="Times New Roman" w:cs="Times New Roman"/>
    </w:rPr>
  </w:style>
  <w:style w:type="paragraph" w:customStyle="1" w:styleId="96">
    <w:name w:val="item_alinea_letra"/>
    <w:basedOn w:val="1"/>
    <w:qFormat/>
    <w:uiPriority w:val="0"/>
    <w:pPr>
      <w:spacing w:before="100" w:beforeAutospacing="1" w:after="100" w:afterAutospacing="1"/>
    </w:pPr>
    <w:rPr>
      <w:rFonts w:ascii="Times New Roman" w:hAnsi="Times New Roman" w:eastAsia="Times New Roman" w:cs="Times New Roman"/>
    </w:rPr>
  </w:style>
  <w:style w:type="character" w:customStyle="1" w:styleId="97">
    <w:name w:val="markedcontent"/>
    <w:basedOn w:val="7"/>
    <w:qFormat/>
    <w:uiPriority w:val="0"/>
  </w:style>
  <w:style w:type="paragraph" w:customStyle="1" w:styleId="98">
    <w:name w:val="Standard"/>
    <w:qFormat/>
    <w:uiPriority w:val="0"/>
    <w:pPr>
      <w:suppressAutoHyphens/>
      <w:autoSpaceDN w:val="0"/>
    </w:pPr>
    <w:rPr>
      <w:rFonts w:ascii="Liberation Serif" w:hAnsi="Liberation Serif" w:eastAsia="NSimSun" w:cs="Lucida Sans"/>
      <w:kern w:val="3"/>
      <w:sz w:val="24"/>
      <w:szCs w:val="24"/>
      <w:lang w:val="pt-BR" w:eastAsia="zh-CN" w:bidi="hi-IN"/>
    </w:rPr>
  </w:style>
  <w:style w:type="paragraph" w:customStyle="1" w:styleId="99">
    <w:name w:val="Text body"/>
    <w:basedOn w:val="98"/>
    <w:qFormat/>
    <w:uiPriority w:val="0"/>
    <w:pPr>
      <w:spacing w:after="140" w:line="276" w:lineRule="auto"/>
    </w:pPr>
  </w:style>
  <w:style w:type="character" w:customStyle="1" w:styleId="100">
    <w:name w:val="Menção Pendente3"/>
    <w:basedOn w:val="7"/>
    <w:semiHidden/>
    <w:unhideWhenUsed/>
    <w:qFormat/>
    <w:uiPriority w:val="99"/>
    <w:rPr>
      <w:color w:val="605E5C"/>
      <w:shd w:val="clear" w:color="auto" w:fill="E1DFDD"/>
    </w:rPr>
  </w:style>
  <w:style w:type="character" w:customStyle="1" w:styleId="101">
    <w:name w:val="Menção Pendente4"/>
    <w:basedOn w:val="7"/>
    <w:semiHidden/>
    <w:unhideWhenUsed/>
    <w:qFormat/>
    <w:uiPriority w:val="99"/>
    <w:rPr>
      <w:color w:val="605E5C"/>
      <w:shd w:val="clear" w:color="auto" w:fill="E1DFDD"/>
    </w:rPr>
  </w:style>
  <w:style w:type="paragraph" w:customStyle="1" w:styleId="102">
    <w:name w:val="ou"/>
    <w:basedOn w:val="26"/>
    <w:link w:val="103"/>
    <w:qFormat/>
    <w:uiPriority w:val="0"/>
    <w:pPr>
      <w:spacing w:before="60" w:after="60" w:line="259" w:lineRule="auto"/>
      <w:ind w:left="0"/>
      <w:contextualSpacing w:val="0"/>
      <w:jc w:val="center"/>
    </w:pPr>
    <w:rPr>
      <w:rFonts w:ascii="Arial" w:hAnsi="Arial" w:cs="Arial" w:eastAsiaTheme="minorHAnsi"/>
      <w:b/>
      <w:bCs/>
      <w:i/>
      <w:iCs/>
      <w:color w:val="FF0000"/>
      <w:u w:val="single"/>
    </w:rPr>
  </w:style>
  <w:style w:type="character" w:customStyle="1" w:styleId="103">
    <w:name w:val="ou Char"/>
    <w:basedOn w:val="89"/>
    <w:link w:val="102"/>
    <w:qFormat/>
    <w:uiPriority w:val="0"/>
    <w:rPr>
      <w:rFonts w:ascii="Arial" w:hAnsi="Arial" w:cs="Arial" w:eastAsiaTheme="minorHAnsi"/>
      <w:b/>
      <w:bCs/>
      <w:i/>
      <w:iCs/>
      <w:color w:val="FF0000"/>
      <w:sz w:val="24"/>
      <w:szCs w:val="24"/>
      <w:u w:val="single"/>
      <w:lang w:eastAsia="pt-BR"/>
    </w:rPr>
  </w:style>
  <w:style w:type="paragraph" w:customStyle="1" w:styleId="104">
    <w:name w:val="dou-paragraph"/>
    <w:basedOn w:val="1"/>
    <w:qFormat/>
    <w:uiPriority w:val="0"/>
    <w:pPr>
      <w:spacing w:before="100" w:beforeAutospacing="1" w:after="100" w:afterAutospacing="1"/>
    </w:pPr>
    <w:rPr>
      <w:rFonts w:ascii="Times New Roman" w:hAnsi="Times New Roman" w:eastAsia="Times New Roman" w:cs="Times New Roman"/>
    </w:rPr>
  </w:style>
  <w:style w:type="paragraph" w:customStyle="1" w:styleId="105">
    <w:name w:val="Nível 2 -Red"/>
    <w:basedOn w:val="58"/>
    <w:link w:val="107"/>
    <w:qFormat/>
    <w:uiPriority w:val="0"/>
    <w:rPr>
      <w:i/>
      <w:iCs/>
      <w:color w:val="FF0000"/>
    </w:rPr>
  </w:style>
  <w:style w:type="paragraph" w:customStyle="1" w:styleId="106">
    <w:name w:val="Nível 3-R"/>
    <w:basedOn w:val="60"/>
    <w:link w:val="110"/>
    <w:qFormat/>
    <w:uiPriority w:val="0"/>
    <w:rPr>
      <w:i/>
      <w:iCs/>
      <w:color w:val="FF0000"/>
    </w:rPr>
  </w:style>
  <w:style w:type="character" w:customStyle="1" w:styleId="107">
    <w:name w:val="Nível 2 -Red Char"/>
    <w:basedOn w:val="83"/>
    <w:link w:val="105"/>
    <w:qFormat/>
    <w:uiPriority w:val="0"/>
    <w:rPr>
      <w:rFonts w:ascii="Arial" w:hAnsi="Arial" w:cs="Arial"/>
      <w:i/>
      <w:iCs/>
      <w:color w:val="FF0000"/>
      <w:lang w:eastAsia="pt-BR"/>
    </w:rPr>
  </w:style>
  <w:style w:type="paragraph" w:customStyle="1" w:styleId="108">
    <w:name w:val="Nível 4-R"/>
    <w:basedOn w:val="61"/>
    <w:link w:val="112"/>
    <w:qFormat/>
    <w:uiPriority w:val="0"/>
    <w:pPr>
      <w:ind w:left="2491" w:hanging="648"/>
    </w:pPr>
    <w:rPr>
      <w:i/>
      <w:iCs/>
      <w:color w:val="FF0000"/>
    </w:rPr>
  </w:style>
  <w:style w:type="character" w:customStyle="1" w:styleId="109">
    <w:name w:val="Nivel 3 Char"/>
    <w:basedOn w:val="7"/>
    <w:link w:val="60"/>
    <w:qFormat/>
    <w:uiPriority w:val="0"/>
    <w:rPr>
      <w:rFonts w:ascii="Arial" w:hAnsi="Arial" w:cs="Arial"/>
      <w:color w:val="000000"/>
      <w:lang w:eastAsia="pt-BR"/>
    </w:rPr>
  </w:style>
  <w:style w:type="character" w:customStyle="1" w:styleId="110">
    <w:name w:val="Nível 3-R Char"/>
    <w:basedOn w:val="109"/>
    <w:link w:val="106"/>
    <w:qFormat/>
    <w:uiPriority w:val="0"/>
    <w:rPr>
      <w:rFonts w:ascii="Arial" w:hAnsi="Arial" w:cs="Arial"/>
      <w:i/>
      <w:iCs/>
      <w:color w:val="FF0000"/>
      <w:lang w:eastAsia="pt-BR"/>
    </w:rPr>
  </w:style>
  <w:style w:type="paragraph" w:customStyle="1" w:styleId="111">
    <w:name w:val="Nível 1-Sem Num"/>
    <w:basedOn w:val="41"/>
    <w:link w:val="114"/>
    <w:qFormat/>
    <w:uiPriority w:val="0"/>
    <w:pPr>
      <w:numPr>
        <w:numId w:val="0"/>
      </w:numPr>
      <w:ind w:left="357"/>
      <w:outlineLvl w:val="1"/>
    </w:pPr>
    <w:rPr>
      <w:color w:val="FF0000"/>
    </w:rPr>
  </w:style>
  <w:style w:type="character" w:customStyle="1" w:styleId="112">
    <w:name w:val="Nível 4-R Char"/>
    <w:basedOn w:val="63"/>
    <w:link w:val="108"/>
    <w:qFormat/>
    <w:uiPriority w:val="0"/>
    <w:rPr>
      <w:rFonts w:ascii="Arial" w:hAnsi="Arial" w:cs="Arial"/>
      <w:i/>
      <w:iCs/>
      <w:color w:val="FF0000"/>
      <w:lang w:eastAsia="pt-BR"/>
    </w:rPr>
  </w:style>
  <w:style w:type="character" w:customStyle="1" w:styleId="113">
    <w:name w:val="Link da Internet"/>
    <w:basedOn w:val="7"/>
    <w:unhideWhenUsed/>
    <w:qFormat/>
    <w:uiPriority w:val="99"/>
    <w:rPr>
      <w:color w:val="0000FF" w:themeColor="hyperlink"/>
      <w:u w:val="single"/>
      <w14:textFill>
        <w14:solidFill>
          <w14:schemeClr w14:val="hlink"/>
        </w14:solidFill>
      </w14:textFill>
    </w:rPr>
  </w:style>
  <w:style w:type="character" w:customStyle="1" w:styleId="114">
    <w:name w:val="Nível 1-Sem Num Char"/>
    <w:basedOn w:val="44"/>
    <w:link w:val="111"/>
    <w:qFormat/>
    <w:uiPriority w:val="0"/>
    <w:rPr>
      <w:rFonts w:ascii="Arial" w:hAnsi="Arial" w:cs="Arial" w:eastAsiaTheme="majorEastAsia"/>
      <w:color w:val="FF0000"/>
      <w:spacing w:val="5"/>
      <w:kern w:val="28"/>
      <w:sz w:val="52"/>
      <w:szCs w:val="52"/>
      <w:lang w:eastAsia="pt-BR"/>
    </w:rPr>
  </w:style>
  <w:style w:type="paragraph" w:customStyle="1" w:styleId="115">
    <w:name w:val="citação 2"/>
    <w:basedOn w:val="32"/>
    <w:link w:val="119"/>
    <w:qFormat/>
    <w:uiPriority w:val="0"/>
    <w:pPr>
      <w:overflowPunct w:val="0"/>
    </w:pPr>
    <w:rPr>
      <w:szCs w:val="20"/>
    </w:rPr>
  </w:style>
  <w:style w:type="paragraph" w:customStyle="1" w:styleId="116">
    <w:name w:val="Preâmbulo"/>
    <w:basedOn w:val="1"/>
    <w:link w:val="117"/>
    <w:qFormat/>
    <w:uiPriority w:val="0"/>
    <w:pPr>
      <w:spacing w:before="480" w:after="120" w:line="360" w:lineRule="auto"/>
      <w:ind w:left="4253" w:right="-17"/>
      <w:jc w:val="both"/>
    </w:pPr>
    <w:rPr>
      <w:rFonts w:ascii="Arial" w:hAnsi="Arial" w:eastAsia="Arial" w:cs="Arial"/>
      <w:bCs/>
      <w:sz w:val="20"/>
      <w:szCs w:val="20"/>
    </w:rPr>
  </w:style>
  <w:style w:type="character" w:customStyle="1" w:styleId="117">
    <w:name w:val="Preâmbulo Char"/>
    <w:basedOn w:val="7"/>
    <w:link w:val="116"/>
    <w:qFormat/>
    <w:uiPriority w:val="0"/>
    <w:rPr>
      <w:rFonts w:ascii="Arial" w:hAnsi="Arial" w:eastAsia="Arial" w:cs="Arial"/>
      <w:bCs/>
      <w:lang w:eastAsia="pt-BR"/>
    </w:rPr>
  </w:style>
  <w:style w:type="character" w:customStyle="1" w:styleId="118">
    <w:name w:val="Unresolved Mention"/>
    <w:basedOn w:val="7"/>
    <w:semiHidden/>
    <w:unhideWhenUsed/>
    <w:qFormat/>
    <w:uiPriority w:val="99"/>
    <w:rPr>
      <w:color w:val="605E5C"/>
      <w:shd w:val="clear" w:color="auto" w:fill="E1DFDD"/>
    </w:rPr>
  </w:style>
  <w:style w:type="character" w:customStyle="1" w:styleId="119">
    <w:name w:val="citação 2 Char"/>
    <w:basedOn w:val="33"/>
    <w:link w:val="115"/>
    <w:qFormat/>
    <w:uiPriority w:val="0"/>
    <w:rPr>
      <w:rFonts w:ascii="Arial" w:hAnsi="Arial" w:eastAsia="Calibri" w:cs="Tahoma"/>
      <w:color w:val="000000"/>
      <w:szCs w:val="24"/>
      <w:shd w:val="clear" w:color="auto" w:fill="FFFFCC"/>
    </w:rPr>
  </w:style>
  <w:style w:type="paragraph" w:customStyle="1" w:styleId="120">
    <w:name w:val="TOC Heading"/>
    <w:basedOn w:val="2"/>
    <w:next w:val="1"/>
    <w:unhideWhenUsed/>
    <w:qFormat/>
    <w:uiPriority w:val="39"/>
    <w:pPr>
      <w:spacing w:before="240" w:line="259" w:lineRule="auto"/>
      <w:outlineLvl w:val="9"/>
    </w:pPr>
    <w:rPr>
      <w:b w:val="0"/>
      <w:bCs w:val="0"/>
      <w:sz w:val="32"/>
      <w:szCs w:val="32"/>
    </w:rPr>
  </w:style>
  <w:style w:type="paragraph" w:customStyle="1" w:styleId="121">
    <w:name w:val="pf0"/>
    <w:basedOn w:val="1"/>
    <w:qFormat/>
    <w:uiPriority w:val="0"/>
    <w:pPr>
      <w:spacing w:before="100" w:beforeAutospacing="1" w:after="100" w:afterAutospacing="1"/>
    </w:pPr>
    <w:rPr>
      <w:rFonts w:ascii="Times New Roman" w:hAnsi="Times New Roman" w:eastAsia="Times New Roman" w:cs="Times New Roman"/>
    </w:rPr>
  </w:style>
  <w:style w:type="character" w:customStyle="1" w:styleId="122">
    <w:name w:val="cf01"/>
    <w:basedOn w:val="7"/>
    <w:qFormat/>
    <w:uiPriority w:val="0"/>
    <w:rPr>
      <w:rFonts w:hint="default" w:ascii="Segoe UI" w:hAnsi="Segoe UI" w:cs="Segoe UI"/>
      <w:b/>
      <w:bCs/>
      <w:i/>
      <w:iCs/>
      <w:sz w:val="18"/>
      <w:szCs w:val="18"/>
    </w:rPr>
  </w:style>
  <w:style w:type="character" w:customStyle="1" w:styleId="123">
    <w:name w:val="cf11"/>
    <w:basedOn w:val="7"/>
    <w:qFormat/>
    <w:uiPriority w:val="0"/>
    <w:rPr>
      <w:rFonts w:hint="default" w:ascii="Segoe UI" w:hAnsi="Segoe UI" w:cs="Segoe UI"/>
      <w:i/>
      <w:iCs/>
      <w:sz w:val="18"/>
      <w:szCs w:val="18"/>
    </w:rPr>
  </w:style>
  <w:style w:type="character" w:customStyle="1" w:styleId="124">
    <w:name w:val="cf21"/>
    <w:basedOn w:val="7"/>
    <w:qFormat/>
    <w:uiPriority w:val="0"/>
    <w:rPr>
      <w:rFonts w:hint="default" w:ascii="Segoe UI" w:hAnsi="Segoe UI" w:cs="Segoe UI"/>
      <w:i/>
      <w:iCs/>
      <w:sz w:val="18"/>
      <w:szCs w:val="18"/>
    </w:rPr>
  </w:style>
  <w:style w:type="character" w:customStyle="1" w:styleId="125">
    <w:name w:val="cf31"/>
    <w:basedOn w:val="7"/>
    <w:qFormat/>
    <w:uiPriority w:val="0"/>
    <w:rPr>
      <w:rFonts w:hint="default" w:ascii="Segoe UI" w:hAnsi="Segoe UI" w:cs="Segoe UI"/>
      <w:i/>
      <w:iCs/>
      <w:sz w:val="18"/>
      <w:szCs w:val="18"/>
    </w:rPr>
  </w:style>
  <w:style w:type="character" w:customStyle="1" w:styleId="126">
    <w:name w:val="normal__char"/>
    <w:basedOn w:val="7"/>
    <w:qFormat/>
    <w:uiPriority w:val="0"/>
  </w:style>
  <w:style w:type="paragraph" w:customStyle="1" w:styleId="127">
    <w:name w:val="Normal1"/>
    <w:basedOn w:val="1"/>
    <w:qFormat/>
    <w:uiPriority w:val="0"/>
    <w:pPr>
      <w:spacing w:before="100" w:beforeAutospacing="1" w:after="100" w:afterAutospacing="1"/>
    </w:pPr>
    <w:rPr>
      <w:rFonts w:ascii="Times New Roman" w:hAnsi="Times New Roman" w:eastAsia="SimSun" w:cs="Times New Roman"/>
      <w:lang w:eastAsia="zh-CN"/>
    </w:rPr>
  </w:style>
  <w:style w:type="paragraph" w:customStyle="1" w:styleId="128">
    <w:name w:val="Recuo de corpo de texto 21"/>
    <w:basedOn w:val="1"/>
    <w:qFormat/>
    <w:uiPriority w:val="0"/>
    <w:pPr>
      <w:ind w:left="709" w:hanging="709"/>
      <w:jc w:val="both"/>
    </w:pPr>
    <w:rPr>
      <w:rFonts w:ascii="Arial" w:hAnsi="Arial" w:eastAsia="Times New Roman" w:cs="Times New Roman"/>
      <w:szCs w:val="20"/>
    </w:rPr>
  </w:style>
  <w:style w:type="character" w:customStyle="1" w:styleId="129">
    <w:name w:val="Texto sem Formatação Char"/>
    <w:basedOn w:val="7"/>
    <w:link w:val="19"/>
    <w:semiHidden/>
    <w:qFormat/>
    <w:uiPriority w:val="99"/>
    <w:rPr>
      <w:rFonts w:ascii="Calibri" w:hAnsi="Calibri" w:eastAsia="Calibri" w:cs="Calibri"/>
      <w:sz w:val="22"/>
      <w:szCs w:val="22"/>
    </w:rPr>
  </w:style>
  <w:style w:type="paragraph" w:customStyle="1" w:styleId="130">
    <w:name w:val="WW-Recuo de corpo de texto 3"/>
    <w:basedOn w:val="1"/>
    <w:qFormat/>
    <w:uiPriority w:val="0"/>
    <w:pPr>
      <w:ind w:left="709" w:hanging="709"/>
      <w:jc w:val="both"/>
    </w:pPr>
    <w:rPr>
      <w:szCs w:val="20"/>
      <w:lang w:eastAsia="ar-SA"/>
    </w:rPr>
  </w:style>
  <w:style w:type="paragraph" w:customStyle="1" w:styleId="131">
    <w:name w:val="Texto padrão"/>
    <w:basedOn w:val="1"/>
    <w:qFormat/>
    <w:uiPriority w:val="0"/>
    <w:pPr>
      <w:widowControl w:val="0"/>
    </w:pPr>
    <w:rPr>
      <w:snapToGrid w:val="0"/>
      <w:szCs w:val="20"/>
      <w:lang w:val="en-US"/>
    </w:rPr>
  </w:style>
  <w:style w:type="paragraph" w:customStyle="1" w:styleId="132">
    <w:name w:val="Table Paragraph"/>
    <w:basedOn w:val="1"/>
    <w:qFormat/>
    <w:uiPriority w:val="1"/>
    <w:pPr>
      <w:widowControl w:val="0"/>
      <w:autoSpaceDE w:val="0"/>
      <w:autoSpaceDN w:val="0"/>
    </w:pPr>
    <w:rPr>
      <w:rFonts w:ascii="Calibri" w:hAnsi="Calibri" w:eastAsia="Calibri" w:cs="Calibri"/>
      <w:lang w:val="pt-PT"/>
    </w:rPr>
  </w:style>
  <w:style w:type="table" w:customStyle="1" w:styleId="133">
    <w:name w:val="Table Normal"/>
    <w:semiHidden/>
    <w:unhideWhenUsed/>
    <w:qFormat/>
    <w:uiPriority w:val="2"/>
    <w:pPr>
      <w:widowControl w:val="0"/>
      <w:autoSpaceDE w:val="0"/>
      <w:autoSpaceDN w:val="0"/>
    </w:pPr>
    <w:rPr>
      <w:lang w:val="en-US"/>
    </w:rPr>
    <w:tblPr>
      <w:tblCellMar>
        <w:top w:w="0" w:type="dxa"/>
        <w:left w:w="0" w:type="dxa"/>
        <w:bottom w:w="0" w:type="dxa"/>
        <w:right w:w="0" w:type="dxa"/>
      </w:tblCellMar>
    </w:tblPr>
  </w:style>
  <w:style w:type="paragraph" w:customStyle="1" w:styleId="134">
    <w:name w:val="PADRAO"/>
    <w:qFormat/>
    <w:uiPriority w:val="0"/>
    <w:pPr>
      <w:ind w:left="144"/>
      <w:jc w:val="both"/>
    </w:pPr>
    <w:rPr>
      <w:rFonts w:ascii="Times New Roman" w:hAnsi="Times New Roman" w:eastAsia="Times New Roman" w:cs="Times New Roman"/>
      <w:color w:val="000000"/>
      <w:sz w:val="24"/>
      <w:lang w:val="pt-BR" w:eastAsia="pt-BR" w:bidi="ar-SA"/>
    </w:rPr>
  </w:style>
  <w:style w:type="paragraph" w:customStyle="1" w:styleId="135">
    <w:name w:val="Normal2"/>
    <w:qFormat/>
    <w:uiPriority w:val="0"/>
    <w:rPr>
      <w:rFonts w:ascii="Times New Roman" w:hAnsi="Times New Roman" w:eastAsia="Times New Roman" w:cs="Times New Roman"/>
      <w:color w:val="000000"/>
      <w:sz w:val="24"/>
      <w:szCs w:val="24"/>
      <w:lang w:val="pt-BR" w:eastAsia="pt-BR" w:bidi="ar-SA"/>
    </w:rPr>
  </w:style>
  <w:style w:type="paragraph" w:customStyle="1" w:styleId="136">
    <w:name w:val="SubTitNN"/>
    <w:basedOn w:val="1"/>
    <w:qFormat/>
    <w:uiPriority w:val="0"/>
    <w:pPr>
      <w:spacing w:before="240" w:after="120" w:line="276" w:lineRule="auto"/>
      <w:jc w:val="both"/>
    </w:pPr>
    <w:rPr>
      <w:rFonts w:ascii="Arial" w:hAnsi="Arial" w:cs="Arial"/>
      <w:b/>
      <w:bCs/>
      <w:iCs/>
      <w:sz w:val="20"/>
      <w:szCs w:val="20"/>
    </w:rPr>
  </w:style>
  <w:style w:type="paragraph" w:customStyle="1" w:styleId="137">
    <w:name w:val="Nível 3"/>
    <w:basedOn w:val="106"/>
    <w:qFormat/>
    <w:uiPriority w:val="0"/>
    <w:rPr>
      <w:rFonts w:eastAsia="Times New Roman"/>
      <w:i w:val="0"/>
      <w:iCs w:val="0"/>
      <w:color w:val="auto"/>
    </w:rPr>
  </w:style>
  <w:style w:type="paragraph" w:customStyle="1" w:styleId="138">
    <w:name w:val="Nível 4"/>
    <w:basedOn w:val="137"/>
    <w:qFormat/>
    <w:uiPriority w:val="0"/>
    <w:pPr>
      <w:numPr>
        <w:ilvl w:val="3"/>
      </w:numPr>
      <w:ind w:left="567" w:firstLine="0"/>
    </w:pPr>
  </w:style>
  <w:style w:type="paragraph" w:customStyle="1" w:styleId="139">
    <w:name w:val="Corpo"/>
    <w:qFormat/>
    <w:uiPriority w:val="0"/>
    <w:rPr>
      <w:rFonts w:ascii="Times New Roman" w:hAnsi="Times New Roman" w:eastAsia="SimSun" w:cs="Times New Roman"/>
      <w:color w:val="000000"/>
      <w:lang w:val="pt-BR" w:eastAsia="pt-BR" w:bidi="ar-SA"/>
    </w:rPr>
  </w:style>
  <w:style w:type="paragraph" w:customStyle="1" w:styleId="140">
    <w:name w:val="xl22"/>
    <w:basedOn w:val="1"/>
    <w:qFormat/>
    <w:uiPriority w:val="0"/>
    <w:pPr>
      <w:spacing w:before="280" w:after="280"/>
    </w:pPr>
    <w:rPr>
      <w:rFonts w:ascii="Arial" w:hAnsi="Arial" w:eastAsia="Arial Unicode MS" w:cs="Arial"/>
      <w:b/>
      <w:bCs/>
      <w:lang w:eastAsia="ar-SA"/>
    </w:rPr>
  </w:style>
  <w:style w:type="character" w:customStyle="1" w:styleId="141">
    <w:name w:val="apple-converted-space"/>
    <w:qFormat/>
    <w:uiPriority w:val="0"/>
  </w:style>
  <w:style w:type="paragraph" w:customStyle="1" w:styleId="142">
    <w:name w:val="Conteúdo da tabela"/>
    <w:basedOn w:val="1"/>
    <w:qFormat/>
    <w:uiPriority w:val="0"/>
  </w:style>
  <w:style w:type="character" w:customStyle="1" w:styleId="143">
    <w:name w:val="modelo2"/>
    <w:qFormat/>
    <w:uiPriority w:val="0"/>
  </w:style>
  <w:style w:type="character" w:customStyle="1" w:styleId="144">
    <w:name w:val="font11"/>
    <w:qFormat/>
    <w:uiPriority w:val="0"/>
    <w:rPr>
      <w:rFonts w:hint="default" w:ascii="Aptos Narrow" w:hAnsi="Aptos Narrow" w:eastAsia="Aptos Narrow" w:cs="Aptos Narrow"/>
      <w:b/>
      <w:bCs/>
      <w:color w:val="000000"/>
      <w:u w:val="none"/>
    </w:rPr>
  </w:style>
  <w:style w:type="character" w:customStyle="1" w:styleId="145">
    <w:name w:val="font01"/>
    <w:qFormat/>
    <w:uiPriority w:val="0"/>
    <w:rPr>
      <w:rFonts w:hint="default" w:ascii="Aptos Narrow" w:hAnsi="Aptos Narrow" w:eastAsia="Aptos Narrow" w:cs="Aptos Narrow"/>
      <w:color w:val="000000"/>
      <w:u w:val="none"/>
    </w:rPr>
  </w:style>
  <w:style w:type="character" w:customStyle="1" w:styleId="146">
    <w:name w:val="font51"/>
    <w:qFormat/>
    <w:uiPriority w:val="0"/>
    <w:rPr>
      <w:rFonts w:hint="default" w:ascii="Aptos Narrow" w:hAnsi="Aptos Narrow" w:eastAsia="Aptos Narrow" w:cs="Aptos Narrow"/>
      <w:color w:val="000000"/>
      <w:u w:val="none"/>
    </w:rPr>
  </w:style>
  <w:style w:type="character" w:customStyle="1" w:styleId="147">
    <w:name w:val="font41"/>
    <w:qFormat/>
    <w:uiPriority w:val="0"/>
    <w:rPr>
      <w:rFonts w:hint="default" w:ascii="Aptos Narrow" w:hAnsi="Aptos Narrow" w:eastAsia="Aptos Narrow" w:cs="Aptos Narrow"/>
      <w:b/>
      <w:bCs/>
      <w:color w:val="000000"/>
      <w:u w:val="none"/>
    </w:rPr>
  </w:style>
  <w:style w:type="character" w:customStyle="1" w:styleId="148">
    <w:name w:val="font21"/>
    <w:qFormat/>
    <w:uiPriority w:val="0"/>
    <w:rPr>
      <w:rFonts w:hint="default" w:ascii="Arial Nova Cond" w:hAnsi="Arial Nova Cond" w:eastAsia="Arial Nova Cond" w:cs="Arial Nova Cond"/>
      <w:b/>
      <w:bCs/>
      <w:color w:val="000000"/>
      <w:u w:val="none"/>
    </w:rPr>
  </w:style>
  <w:style w:type="character" w:customStyle="1" w:styleId="149">
    <w:name w:val="font31"/>
    <w:qFormat/>
    <w:uiPriority w:val="0"/>
    <w:rPr>
      <w:rFonts w:hint="default" w:ascii="Arial Nova Cond" w:hAnsi="Arial Nova Cond" w:eastAsia="Arial Nova Cond" w:cs="Arial Nova Cond"/>
      <w:color w:val="000000"/>
      <w:u w:val="none"/>
    </w:rPr>
  </w:style>
  <w:style w:type="character" w:customStyle="1" w:styleId="150">
    <w:name w:val="font61"/>
    <w:qFormat/>
    <w:uiPriority w:val="0"/>
    <w:rPr>
      <w:rFonts w:hint="default" w:ascii="Calibri" w:hAnsi="Calibri" w:cs="Calibri"/>
      <w:b/>
      <w:bCs/>
      <w:color w:val="00000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051"/>
    <customShpInfo spid="_x0000_s1058"/>
    <customShpInfo spid="_x0000_s1059"/>
    <customShpInfo spid="_x0000_s1060"/>
    <customShpInfo spid="_x0000_s1061"/>
    <customShpInfo spid="_x0000_s1062"/>
    <customShpInfo spid="_x0000_s1063"/>
    <customShpInfo spid="_x0000_s1064"/>
    <customShpInfo spid="_x0000_s106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7084</Words>
  <Characters>38256</Characters>
  <Lines>318</Lines>
  <Paragraphs>90</Paragraphs>
  <TotalTime>5</TotalTime>
  <ScaleCrop>false</ScaleCrop>
  <LinksUpToDate>false</LinksUpToDate>
  <CharactersWithSpaces>45250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2023-02-03T14:50:00Z</dcterms:created>
  <dcterms:modified xsi:type="dcterms:W3CDTF">2025-02-07T16:25:12Z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y fmtid="{D5CDD505-2E9C-101B-9397-08002B2CF9AE}" pid="4" name="KSOProductBuildVer">
    <vt:lpwstr>1046-12.2.0.19805</vt:lpwstr>
  </property>
  <property fmtid="{D5CDD505-2E9C-101B-9397-08002B2CF9AE}" pid="5" name="ICV">
    <vt:lpwstr>60DC516AC2634C77B98C551EE4751D42_13</vt:lpwstr>
  </property>
</Properties>
</file>